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20"/>
        <w:ind w:firstLine="567"/>
        <w:jc w:val="center"/>
        <w:rPr>
          <w:rFonts w:ascii="Times New Roman" w:hAnsi="Times New Roman" w:cs="Times New Roman"/>
          <w:b/>
          <w:b/>
          <w:sz w:val="28"/>
          <w:szCs w:val="28"/>
          <w:lang w:val="uk-UA"/>
        </w:rPr>
      </w:pPr>
      <w:r>
        <w:rPr>
          <w:rFonts w:cs="Times New Roman" w:ascii="Times New Roman" w:hAnsi="Times New Roman"/>
          <w:b/>
          <w:sz w:val="28"/>
          <w:szCs w:val="28"/>
          <w:lang w:val="uk-UA"/>
        </w:rPr>
        <w:t>Показники фінансового стану</w:t>
      </w:r>
    </w:p>
    <w:p>
      <w:pPr>
        <w:pStyle w:val="ListParagraph"/>
        <w:numPr>
          <w:ilvl w:val="0"/>
          <w:numId w:val="1"/>
        </w:numPr>
        <w:tabs>
          <w:tab w:val="clear" w:pos="708"/>
          <w:tab w:val="left" w:pos="851" w:leader="none"/>
        </w:tabs>
        <w:spacing w:before="120" w:after="120"/>
        <w:ind w:left="0" w:right="-28" w:firstLine="567"/>
        <w:contextualSpacing/>
        <w:jc w:val="both"/>
        <w:rPr>
          <w:rFonts w:ascii="Times New Roman" w:hAnsi="Times New Roman" w:cs="Times New Roman"/>
          <w:b/>
          <w:b/>
          <w:sz w:val="24"/>
          <w:szCs w:val="24"/>
          <w:lang w:val="uk-UA"/>
        </w:rPr>
      </w:pPr>
      <w:r>
        <w:rPr>
          <w:rFonts w:cs="Times New Roman" w:ascii="Times New Roman" w:hAnsi="Times New Roman"/>
          <w:b/>
          <w:sz w:val="24"/>
          <w:szCs w:val="24"/>
          <w:lang w:val="uk-UA"/>
        </w:rPr>
        <w:t>Загальні показники діяльності Товариства</w:t>
      </w:r>
    </w:p>
    <w:tbl>
      <w:tblPr>
        <w:tblW w:w="14003" w:type="dxa"/>
        <w:jc w:val="left"/>
        <w:tblInd w:w="-20" w:type="dxa"/>
        <w:tblLayout w:type="fixed"/>
        <w:tblCellMar>
          <w:top w:w="0" w:type="dxa"/>
          <w:left w:w="108" w:type="dxa"/>
          <w:bottom w:w="0" w:type="dxa"/>
          <w:right w:w="108" w:type="dxa"/>
        </w:tblCellMar>
        <w:tblLook w:val="04a0" w:noHBand="0" w:noVBand="1" w:firstColumn="1" w:lastRow="0" w:lastColumn="0" w:firstRow="1"/>
      </w:tblPr>
      <w:tblGrid>
        <w:gridCol w:w="2339"/>
        <w:gridCol w:w="1221"/>
        <w:gridCol w:w="1222"/>
        <w:gridCol w:w="1221"/>
        <w:gridCol w:w="1239"/>
        <w:gridCol w:w="1361"/>
        <w:gridCol w:w="1080"/>
        <w:gridCol w:w="1079"/>
        <w:gridCol w:w="1080"/>
        <w:gridCol w:w="1081"/>
        <w:gridCol w:w="1078"/>
      </w:tblGrid>
      <w:tr>
        <w:trPr>
          <w:trHeight w:val="315" w:hRule="atLeast"/>
        </w:trPr>
        <w:tc>
          <w:tcPr>
            <w:tcW w:w="2339"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Показники</w:t>
            </w:r>
          </w:p>
        </w:tc>
        <w:tc>
          <w:tcPr>
            <w:tcW w:w="1221" w:type="dxa"/>
            <w:tcBorders>
              <w:top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2017р.</w:t>
            </w:r>
          </w:p>
        </w:tc>
        <w:tc>
          <w:tcPr>
            <w:tcW w:w="1222" w:type="dxa"/>
            <w:tcBorders>
              <w:top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2018р.</w:t>
            </w:r>
          </w:p>
        </w:tc>
        <w:tc>
          <w:tcPr>
            <w:tcW w:w="1221" w:type="dxa"/>
            <w:tcBorders>
              <w:top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2019р.</w:t>
            </w:r>
          </w:p>
        </w:tc>
        <w:tc>
          <w:tcPr>
            <w:tcW w:w="1239" w:type="dxa"/>
            <w:tcBorders>
              <w:top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2020р.</w:t>
            </w:r>
          </w:p>
        </w:tc>
        <w:tc>
          <w:tcPr>
            <w:tcW w:w="1361" w:type="dxa"/>
            <w:tcBorders>
              <w:top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2021р.</w:t>
            </w:r>
          </w:p>
        </w:tc>
        <w:tc>
          <w:tcPr>
            <w:tcW w:w="4320" w:type="dxa"/>
            <w:gridSpan w:val="4"/>
            <w:tcBorders>
              <w:top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Відхилення, +,-</w:t>
            </w:r>
          </w:p>
        </w:tc>
        <w:tc>
          <w:tcPr>
            <w:tcW w:w="1078"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Темп приросту за останні 3 роки (2021р. до 2019р.), %</w:t>
            </w:r>
          </w:p>
        </w:tc>
      </w:tr>
      <w:tr>
        <w:trPr>
          <w:trHeight w:val="1245" w:hRule="atLeast"/>
        </w:trPr>
        <w:tc>
          <w:tcPr>
            <w:tcW w:w="2339"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r>
          </w:p>
        </w:tc>
        <w:tc>
          <w:tcPr>
            <w:tcW w:w="1221"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(станом на 31.12.2017р.)</w:t>
            </w:r>
          </w:p>
        </w:tc>
        <w:tc>
          <w:tcPr>
            <w:tcW w:w="1222"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(станом на 31.12.2018р.)</w:t>
            </w:r>
          </w:p>
        </w:tc>
        <w:tc>
          <w:tcPr>
            <w:tcW w:w="1221"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(станом на 31.12.2019р.)</w:t>
            </w:r>
          </w:p>
        </w:tc>
        <w:tc>
          <w:tcPr>
            <w:tcW w:w="1239"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(станом на 31.12.2020р.)</w:t>
            </w:r>
          </w:p>
        </w:tc>
        <w:tc>
          <w:tcPr>
            <w:tcW w:w="1361"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(станом на 31.12.2021р.)</w:t>
            </w:r>
          </w:p>
        </w:tc>
        <w:tc>
          <w:tcPr>
            <w:tcW w:w="1080"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2018р. від 2017р. </w:t>
            </w:r>
          </w:p>
        </w:tc>
        <w:tc>
          <w:tcPr>
            <w:tcW w:w="1079"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2019р. від 2018р. </w:t>
            </w:r>
          </w:p>
        </w:tc>
        <w:tc>
          <w:tcPr>
            <w:tcW w:w="1080"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2020р. від 2019р. </w:t>
            </w:r>
          </w:p>
        </w:tc>
        <w:tc>
          <w:tcPr>
            <w:tcW w:w="1081"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2021р. від 2020р. </w:t>
            </w:r>
          </w:p>
        </w:tc>
        <w:tc>
          <w:tcPr>
            <w:tcW w:w="1078"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r>
          </w:p>
        </w:tc>
      </w:tr>
      <w:tr>
        <w:trPr>
          <w:trHeight w:val="720" w:hRule="atLeast"/>
        </w:trPr>
        <w:tc>
          <w:tcPr>
            <w:tcW w:w="2339"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Чистий дохід від реалізації продукції (товарів, робіт, послуг), тис.грн.</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49</w:t>
            </w:r>
          </w:p>
        </w:tc>
        <w:tc>
          <w:tcPr>
            <w:tcW w:w="12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1 981</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177</w:t>
            </w:r>
          </w:p>
        </w:tc>
        <w:tc>
          <w:tcPr>
            <w:tcW w:w="12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1 135</w:t>
            </w:r>
          </w:p>
        </w:tc>
        <w:tc>
          <w:tcPr>
            <w:tcW w:w="136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3 110</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1 932</w:t>
            </w:r>
          </w:p>
        </w:tc>
        <w:tc>
          <w:tcPr>
            <w:tcW w:w="107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-1 804</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958</w:t>
            </w:r>
          </w:p>
        </w:tc>
        <w:tc>
          <w:tcPr>
            <w:tcW w:w="108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1 975</w:t>
            </w:r>
          </w:p>
        </w:tc>
        <w:tc>
          <w:tcPr>
            <w:tcW w:w="1078"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1 657,1%</w:t>
            </w:r>
          </w:p>
        </w:tc>
      </w:tr>
      <w:tr>
        <w:trPr>
          <w:trHeight w:val="480" w:hRule="atLeast"/>
        </w:trPr>
        <w:tc>
          <w:tcPr>
            <w:tcW w:w="2339"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Чистий прибуток (збиток), тис.грн.</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w:t>
            </w:r>
          </w:p>
        </w:tc>
        <w:tc>
          <w:tcPr>
            <w:tcW w:w="12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-177</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50</w:t>
            </w:r>
          </w:p>
        </w:tc>
        <w:tc>
          <w:tcPr>
            <w:tcW w:w="12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216</w:t>
            </w:r>
          </w:p>
        </w:tc>
        <w:tc>
          <w:tcPr>
            <w:tcW w:w="136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538</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-179</w:t>
            </w:r>
          </w:p>
        </w:tc>
        <w:tc>
          <w:tcPr>
            <w:tcW w:w="107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227</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166</w:t>
            </w:r>
          </w:p>
        </w:tc>
        <w:tc>
          <w:tcPr>
            <w:tcW w:w="108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322</w:t>
            </w:r>
          </w:p>
        </w:tc>
        <w:tc>
          <w:tcPr>
            <w:tcW w:w="1078"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976,0%</w:t>
            </w:r>
          </w:p>
        </w:tc>
      </w:tr>
      <w:tr>
        <w:trPr>
          <w:trHeight w:val="300" w:hRule="atLeast"/>
        </w:trPr>
        <w:tc>
          <w:tcPr>
            <w:tcW w:w="2339"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Вартість активів, тис. грн.</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3 329</w:t>
            </w:r>
          </w:p>
        </w:tc>
        <w:tc>
          <w:tcPr>
            <w:tcW w:w="12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3 152</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3198</w:t>
            </w:r>
          </w:p>
        </w:tc>
        <w:tc>
          <w:tcPr>
            <w:tcW w:w="12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3 740</w:t>
            </w:r>
          </w:p>
        </w:tc>
        <w:tc>
          <w:tcPr>
            <w:tcW w:w="136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4 573</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-177</w:t>
            </w:r>
          </w:p>
        </w:tc>
        <w:tc>
          <w:tcPr>
            <w:tcW w:w="107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46</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542</w:t>
            </w:r>
          </w:p>
        </w:tc>
        <w:tc>
          <w:tcPr>
            <w:tcW w:w="108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833</w:t>
            </w:r>
          </w:p>
        </w:tc>
        <w:tc>
          <w:tcPr>
            <w:tcW w:w="1078"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43,0%</w:t>
            </w:r>
          </w:p>
        </w:tc>
      </w:tr>
      <w:tr>
        <w:trPr>
          <w:trHeight w:val="300" w:hRule="atLeast"/>
        </w:trPr>
        <w:tc>
          <w:tcPr>
            <w:tcW w:w="2339"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Власний капітал, тис. грн.</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3 205</w:t>
            </w:r>
          </w:p>
        </w:tc>
        <w:tc>
          <w:tcPr>
            <w:tcW w:w="12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3 028</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3078</w:t>
            </w:r>
          </w:p>
        </w:tc>
        <w:tc>
          <w:tcPr>
            <w:tcW w:w="12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3 294</w:t>
            </w:r>
          </w:p>
        </w:tc>
        <w:tc>
          <w:tcPr>
            <w:tcW w:w="136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3 832</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-177</w:t>
            </w:r>
          </w:p>
        </w:tc>
        <w:tc>
          <w:tcPr>
            <w:tcW w:w="107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50</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216</w:t>
            </w:r>
          </w:p>
        </w:tc>
        <w:tc>
          <w:tcPr>
            <w:tcW w:w="108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538</w:t>
            </w:r>
          </w:p>
        </w:tc>
        <w:tc>
          <w:tcPr>
            <w:tcW w:w="1078"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24,5%</w:t>
            </w:r>
          </w:p>
        </w:tc>
      </w:tr>
      <w:tr>
        <w:trPr>
          <w:trHeight w:val="480" w:hRule="atLeast"/>
        </w:trPr>
        <w:tc>
          <w:tcPr>
            <w:tcW w:w="2339"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Чистий оборотний капітал, тис. грн.</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3 202</w:t>
            </w:r>
          </w:p>
        </w:tc>
        <w:tc>
          <w:tcPr>
            <w:tcW w:w="12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3 024</w:t>
            </w:r>
          </w:p>
        </w:tc>
        <w:tc>
          <w:tcPr>
            <w:tcW w:w="12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3074</w:t>
            </w:r>
          </w:p>
        </w:tc>
        <w:tc>
          <w:tcPr>
            <w:tcW w:w="12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3 290</w:t>
            </w:r>
          </w:p>
        </w:tc>
        <w:tc>
          <w:tcPr>
            <w:tcW w:w="136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3 758</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-178</w:t>
            </w:r>
          </w:p>
        </w:tc>
        <w:tc>
          <w:tcPr>
            <w:tcW w:w="107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50</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216</w:t>
            </w:r>
          </w:p>
        </w:tc>
        <w:tc>
          <w:tcPr>
            <w:tcW w:w="108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468</w:t>
            </w:r>
          </w:p>
        </w:tc>
        <w:tc>
          <w:tcPr>
            <w:tcW w:w="1078"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22,3%</w:t>
            </w:r>
          </w:p>
        </w:tc>
      </w:tr>
    </w:tbl>
    <w:p>
      <w:pPr>
        <w:pStyle w:val="22"/>
        <w:shd w:val="clear" w:color="auto" w:fill="auto"/>
        <w:spacing w:lineRule="atLeast" w:line="240" w:before="139" w:after="0"/>
        <w:ind w:firstLine="567"/>
        <w:rPr>
          <w:rStyle w:val="Strong"/>
          <w:b w:val="false"/>
          <w:b w:val="false"/>
          <w:sz w:val="24"/>
          <w:szCs w:val="24"/>
          <w:lang w:val="uk-UA"/>
        </w:rPr>
      </w:pPr>
      <w:r>
        <w:rPr>
          <w:rStyle w:val="Strong"/>
          <w:b w:val="false"/>
          <w:sz w:val="24"/>
          <w:szCs w:val="24"/>
          <w:lang w:val="uk-UA"/>
        </w:rPr>
        <w:t>Загальні показники діяльності підприємства вказують на те, що ТОВ «УМ ФАКТОРИНГ» впевнено розвивається, нарощує дохід від реалізації послуг, власні активи і власний капітал. Загалом діяльність підприємства є прибутковою, при цьому чистий прибуток протягом останні трьох років стабільно зростає. Темп приросту чистого прибутку за останні три роки склав 976,0%. Зростання чистого прибутку відбувається насамперед за рахунок збільшення виручки (чистого доходу) від реалізації послуг, що за останні три роки зросла з 177 тис. грн. у 2019 році до 3 110 тис.грн. у 2021 році, темп приросту становить 1 657,1%.</w:t>
      </w:r>
    </w:p>
    <w:p>
      <w:pPr>
        <w:pStyle w:val="22"/>
        <w:shd w:val="clear" w:color="auto" w:fill="auto"/>
        <w:spacing w:lineRule="atLeast" w:line="240" w:before="0" w:after="0"/>
        <w:ind w:firstLine="567"/>
        <w:rPr>
          <w:rStyle w:val="Strong"/>
          <w:b w:val="false"/>
          <w:b w:val="false"/>
          <w:sz w:val="24"/>
          <w:szCs w:val="24"/>
          <w:lang w:val="uk-UA"/>
        </w:rPr>
      </w:pPr>
      <w:r>
        <w:rPr>
          <w:rStyle w:val="Strong"/>
          <w:b w:val="false"/>
          <w:sz w:val="24"/>
          <w:szCs w:val="24"/>
          <w:lang w:val="uk-UA"/>
        </w:rPr>
        <w:t xml:space="preserve">Протягом усього періоду чистий оборотний капітал Товариства (розраховується як різниця між оборотними активами Товариства та його поточними зобов'язаннями) стабільно зростає. Значення цього показника свідчіть про достатність у Товариства оборотних активів для погашення поточних зобов’язань та розширення подальшої діяльності. </w:t>
      </w:r>
    </w:p>
    <w:p>
      <w:pPr>
        <w:pStyle w:val="ListParagraph"/>
        <w:numPr>
          <w:ilvl w:val="0"/>
          <w:numId w:val="1"/>
        </w:numPr>
        <w:tabs>
          <w:tab w:val="clear" w:pos="708"/>
          <w:tab w:val="left" w:pos="851" w:leader="none"/>
        </w:tabs>
        <w:spacing w:lineRule="atLeast" w:line="240" w:before="120" w:after="120"/>
        <w:ind w:left="0" w:right="-28" w:firstLine="567"/>
        <w:contextualSpacing/>
        <w:jc w:val="both"/>
        <w:rPr>
          <w:rFonts w:ascii="Times New Roman" w:hAnsi="Times New Roman" w:cs="Times New Roman"/>
          <w:b/>
          <w:b/>
          <w:sz w:val="24"/>
          <w:szCs w:val="24"/>
          <w:lang w:val="uk-UA"/>
        </w:rPr>
      </w:pPr>
      <w:r>
        <w:rPr>
          <w:rFonts w:cs="Times New Roman" w:ascii="Times New Roman" w:hAnsi="Times New Roman"/>
          <w:b/>
          <w:sz w:val="24"/>
          <w:szCs w:val="24"/>
          <w:lang w:val="uk-UA"/>
        </w:rPr>
        <w:t>Коефіцієнти ліквідності</w:t>
      </w:r>
    </w:p>
    <w:p>
      <w:pPr>
        <w:pStyle w:val="22"/>
        <w:shd w:val="clear" w:color="auto" w:fill="auto"/>
        <w:spacing w:lineRule="atLeast" w:line="240" w:before="120" w:after="120"/>
        <w:ind w:firstLine="567"/>
        <w:rPr>
          <w:rFonts w:eastAsia="Calibri" w:eastAsiaTheme="minorHAnsi"/>
          <w:sz w:val="24"/>
          <w:szCs w:val="24"/>
          <w:lang w:val="uk-UA"/>
        </w:rPr>
      </w:pPr>
      <w:r>
        <w:rPr>
          <w:rFonts w:eastAsia="Calibri" w:eastAsiaTheme="minorHAnsi"/>
          <w:sz w:val="24"/>
          <w:szCs w:val="24"/>
          <w:lang w:val="uk-UA"/>
        </w:rPr>
        <w:t xml:space="preserve">Ліквідність підприємства показує спроможність перетворювати наявні активи на грошові кошти для здійснення необхідних поточних платежів, своєчасного погашення своїх боргових зобов’язань </w:t>
      </w:r>
    </w:p>
    <w:tbl>
      <w:tblPr>
        <w:tblW w:w="12614" w:type="dxa"/>
        <w:jc w:val="left"/>
        <w:tblInd w:w="846" w:type="dxa"/>
        <w:tblLayout w:type="fixed"/>
        <w:tblCellMar>
          <w:top w:w="0" w:type="dxa"/>
          <w:left w:w="108" w:type="dxa"/>
          <w:bottom w:w="0" w:type="dxa"/>
          <w:right w:w="108" w:type="dxa"/>
        </w:tblCellMar>
        <w:tblLook w:val="04a0" w:noHBand="0" w:noVBand="1" w:firstColumn="1" w:lastRow="0" w:lastColumn="0" w:firstRow="1"/>
      </w:tblPr>
      <w:tblGrid>
        <w:gridCol w:w="536"/>
        <w:gridCol w:w="2339"/>
        <w:gridCol w:w="1365"/>
        <w:gridCol w:w="821"/>
        <w:gridCol w:w="822"/>
        <w:gridCol w:w="821"/>
        <w:gridCol w:w="821"/>
        <w:gridCol w:w="820"/>
        <w:gridCol w:w="1067"/>
        <w:gridCol w:w="1067"/>
        <w:gridCol w:w="1067"/>
        <w:gridCol w:w="1067"/>
      </w:tblGrid>
      <w:tr>
        <w:trPr>
          <w:trHeight w:val="300" w:hRule="atLeast"/>
        </w:trPr>
        <w:tc>
          <w:tcPr>
            <w:tcW w:w="536"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 xml:space="preserve">№ </w:t>
            </w:r>
            <w:r>
              <w:rPr>
                <w:rFonts w:eastAsia="Times New Roman" w:cs="Times New Roman" w:ascii="Times New Roman" w:hAnsi="Times New Roman"/>
                <w:color w:val="FFFFFF"/>
                <w:lang w:val="uk-UA" w:eastAsia="uk-UA"/>
              </w:rPr>
              <w:t>з/п</w:t>
            </w:r>
          </w:p>
        </w:tc>
        <w:tc>
          <w:tcPr>
            <w:tcW w:w="2339"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Показники</w:t>
            </w:r>
          </w:p>
        </w:tc>
        <w:tc>
          <w:tcPr>
            <w:tcW w:w="1365"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Нормативне значення</w:t>
            </w:r>
          </w:p>
        </w:tc>
        <w:tc>
          <w:tcPr>
            <w:tcW w:w="821"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2017р.</w:t>
            </w:r>
          </w:p>
        </w:tc>
        <w:tc>
          <w:tcPr>
            <w:tcW w:w="822"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2018р.</w:t>
            </w:r>
          </w:p>
        </w:tc>
        <w:tc>
          <w:tcPr>
            <w:tcW w:w="821"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2019р.</w:t>
            </w:r>
          </w:p>
        </w:tc>
        <w:tc>
          <w:tcPr>
            <w:tcW w:w="821"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2020р.</w:t>
            </w:r>
          </w:p>
        </w:tc>
        <w:tc>
          <w:tcPr>
            <w:tcW w:w="820"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2021р.</w:t>
            </w:r>
          </w:p>
        </w:tc>
        <w:tc>
          <w:tcPr>
            <w:tcW w:w="4268" w:type="dxa"/>
            <w:gridSpan w:val="4"/>
            <w:tcBorders>
              <w:top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Відхилення, +,-</w:t>
            </w:r>
          </w:p>
        </w:tc>
      </w:tr>
      <w:tr>
        <w:trPr>
          <w:trHeight w:val="480" w:hRule="atLeast"/>
        </w:trPr>
        <w:tc>
          <w:tcPr>
            <w:tcW w:w="536"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2339"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1365"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1"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2"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1"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1"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0"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1067"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2018р. від 2017р. </w:t>
            </w:r>
          </w:p>
        </w:tc>
        <w:tc>
          <w:tcPr>
            <w:tcW w:w="1067"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2019р. від 2018р. </w:t>
            </w:r>
          </w:p>
        </w:tc>
        <w:tc>
          <w:tcPr>
            <w:tcW w:w="1067"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2020р. від 2019р. </w:t>
            </w:r>
          </w:p>
        </w:tc>
        <w:tc>
          <w:tcPr>
            <w:tcW w:w="1067"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2021р. від 2020р. </w:t>
            </w:r>
          </w:p>
        </w:tc>
      </w:tr>
      <w:tr>
        <w:trPr>
          <w:trHeight w:val="480" w:hRule="atLeast"/>
        </w:trPr>
        <w:tc>
          <w:tcPr>
            <w:tcW w:w="536"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2.1</w:t>
            </w:r>
          </w:p>
        </w:tc>
        <w:tc>
          <w:tcPr>
            <w:tcW w:w="23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Коефіцієнт загальної ліквідності</w:t>
            </w:r>
          </w:p>
        </w:tc>
        <w:tc>
          <w:tcPr>
            <w:tcW w:w="1365"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&gt;1</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27,03</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25,59</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26,4</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8,38</w:t>
            </w:r>
          </w:p>
        </w:tc>
        <w:tc>
          <w:tcPr>
            <w:tcW w:w="82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6,07</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-1,44</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0,81</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-18,02</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-2,31</w:t>
            </w:r>
          </w:p>
        </w:tc>
      </w:tr>
      <w:tr>
        <w:trPr>
          <w:trHeight w:val="480" w:hRule="atLeast"/>
        </w:trPr>
        <w:tc>
          <w:tcPr>
            <w:tcW w:w="536"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2.2</w:t>
            </w:r>
          </w:p>
        </w:tc>
        <w:tc>
          <w:tcPr>
            <w:tcW w:w="23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Коефіцієнт поточної (швидкої) ліквідності</w:t>
            </w:r>
          </w:p>
        </w:tc>
        <w:tc>
          <w:tcPr>
            <w:tcW w:w="1365"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&gt;0,6-0,8</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27,03</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25,59</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26,4</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8,38</w:t>
            </w:r>
          </w:p>
        </w:tc>
        <w:tc>
          <w:tcPr>
            <w:tcW w:w="82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6,07</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-1,44</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0,81</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-18,02</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-2,31</w:t>
            </w:r>
          </w:p>
        </w:tc>
      </w:tr>
      <w:tr>
        <w:trPr>
          <w:trHeight w:val="582" w:hRule="atLeast"/>
        </w:trPr>
        <w:tc>
          <w:tcPr>
            <w:tcW w:w="536"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2.3</w:t>
            </w:r>
          </w:p>
        </w:tc>
        <w:tc>
          <w:tcPr>
            <w:tcW w:w="23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Коефіцієнт абсолютної (строкової) ліквідності</w:t>
            </w:r>
          </w:p>
        </w:tc>
        <w:tc>
          <w:tcPr>
            <w:tcW w:w="1365"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Verdana" w:hAnsi="Verdana" w:eastAsia="Times New Roman"/>
                <w:color w:val="000000"/>
                <w:sz w:val="16"/>
                <w:szCs w:val="16"/>
                <w:lang w:val="uk-UA" w:eastAsia="uk-UA"/>
              </w:rPr>
            </w:pPr>
            <w:r>
              <w:rPr>
                <w:rFonts w:eastAsia="Times New Roman" w:cs="Times New Roman" w:ascii="Times New Roman" w:hAnsi="Times New Roman"/>
                <w:color w:val="000000"/>
                <w:sz w:val="18"/>
                <w:szCs w:val="18"/>
                <w:lang w:val="uk-UA" w:eastAsia="uk-UA"/>
              </w:rPr>
              <w:t>&gt;0</w:t>
            </w:r>
            <w:r>
              <w:rPr>
                <w:rFonts w:eastAsia="Times New Roman" w:ascii="Verdana" w:hAnsi="Verdana"/>
                <w:color w:val="000000"/>
                <w:sz w:val="16"/>
                <w:szCs w:val="16"/>
                <w:lang w:val="uk-UA" w:eastAsia="uk-UA"/>
              </w:rPr>
              <w:t xml:space="preserve"> </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0,17</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0,09</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0,5</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0,5</w:t>
            </w:r>
          </w:p>
        </w:tc>
        <w:tc>
          <w:tcPr>
            <w:tcW w:w="82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0,16</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-0,08</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0,41</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w:t>
            </w:r>
          </w:p>
        </w:tc>
        <w:tc>
          <w:tcPr>
            <w:tcW w:w="1067"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-0,34</w:t>
            </w:r>
          </w:p>
        </w:tc>
      </w:tr>
    </w:tbl>
    <w:p>
      <w:pPr>
        <w:pStyle w:val="22"/>
        <w:shd w:val="clear" w:color="auto" w:fill="auto"/>
        <w:spacing w:lineRule="exact" w:line="226" w:before="139" w:after="0"/>
        <w:ind w:firstLine="567"/>
        <w:rPr>
          <w:rFonts w:eastAsia="Calibri" w:eastAsiaTheme="minorHAnsi"/>
          <w:sz w:val="24"/>
          <w:szCs w:val="24"/>
          <w:lang w:val="uk-UA"/>
        </w:rPr>
      </w:pPr>
      <w:r>
        <w:rPr>
          <w:rFonts w:eastAsia="Calibri" w:eastAsiaTheme="minorHAnsi"/>
          <w:sz w:val="24"/>
          <w:szCs w:val="24"/>
          <w:lang w:val="uk-UA"/>
        </w:rPr>
      </w:r>
    </w:p>
    <w:p>
      <w:pPr>
        <w:pStyle w:val="22"/>
        <w:shd w:val="clear" w:color="auto" w:fill="auto"/>
        <w:spacing w:lineRule="exact" w:line="226" w:before="139" w:after="0"/>
        <w:ind w:firstLine="567"/>
        <w:rPr>
          <w:rFonts w:eastAsia="Calibri" w:eastAsiaTheme="minorHAnsi"/>
          <w:sz w:val="24"/>
          <w:szCs w:val="24"/>
          <w:lang w:val="uk-UA"/>
        </w:rPr>
      </w:pPr>
      <w:r>
        <w:rPr>
          <w:rFonts w:eastAsia="Calibri" w:eastAsiaTheme="minorHAnsi"/>
          <w:sz w:val="24"/>
          <w:szCs w:val="24"/>
          <w:lang w:val="uk-UA"/>
        </w:rPr>
      </w:r>
    </w:p>
    <w:p>
      <w:pPr>
        <w:pStyle w:val="ListParagraph"/>
        <w:spacing w:before="60" w:after="160"/>
        <w:ind w:left="567" w:right="-28" w:hanging="0"/>
        <w:contextualSpacing/>
        <w:jc w:val="both"/>
        <w:rPr>
          <w:rFonts w:ascii="Times New Roman" w:hAnsi="Times New Roman" w:cs="Times New Roman"/>
          <w:b/>
          <w:b/>
          <w:sz w:val="24"/>
          <w:szCs w:val="24"/>
          <w:lang w:val="uk-UA"/>
        </w:rPr>
      </w:pPr>
      <w:r>
        <w:rPr/>
        <w:drawing>
          <wp:inline distT="0" distB="0" distL="0" distR="0">
            <wp:extent cx="7991475" cy="2228850"/>
            <wp:effectExtent l="0" t="0" r="0" b="0"/>
            <wp:docPr id="1" name="Объект1"/>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ListParagraph"/>
        <w:spacing w:before="60" w:after="160"/>
        <w:ind w:left="426" w:right="-28" w:hanging="0"/>
        <w:contextualSpacing/>
        <w:jc w:val="both"/>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ListParagraph"/>
        <w:numPr>
          <w:ilvl w:val="1"/>
          <w:numId w:val="1"/>
        </w:numPr>
        <w:tabs>
          <w:tab w:val="clear" w:pos="708"/>
          <w:tab w:val="left" w:pos="567" w:leader="none"/>
        </w:tabs>
        <w:spacing w:lineRule="atLeast" w:line="240" w:before="160" w:after="0"/>
        <w:ind w:left="0" w:right="-28" w:hanging="0"/>
        <w:contextualSpacing w:val="false"/>
        <w:jc w:val="both"/>
        <w:rPr>
          <w:rFonts w:ascii="Times New Roman" w:hAnsi="Times New Roman" w:cs="Times New Roman"/>
          <w:sz w:val="24"/>
          <w:szCs w:val="24"/>
          <w:lang w:val="uk-UA"/>
        </w:rPr>
      </w:pPr>
      <w:r>
        <w:rPr>
          <w:rFonts w:cs="Times New Roman" w:ascii="Times New Roman" w:hAnsi="Times New Roman"/>
          <w:i/>
          <w:sz w:val="24"/>
          <w:szCs w:val="24"/>
          <w:lang w:val="uk-UA"/>
        </w:rPr>
        <w:t xml:space="preserve">Коефіцієнт загальної ліквідності </w:t>
      </w:r>
      <w:r>
        <w:rPr>
          <w:rFonts w:cs="Times New Roman" w:ascii="Times New Roman" w:hAnsi="Times New Roman"/>
          <w:sz w:val="24"/>
          <w:szCs w:val="24"/>
          <w:lang w:val="uk-UA"/>
        </w:rPr>
        <w:t xml:space="preserve">показує достатність ресурсів товариства, які можуть бути використані для погашення його поточних зобов'язань (розраховується як відношення оборотних активів до поточних зобов'язань товариства). Протягом періоду значення цього показника зменшилось з 27,03 у 2017 році до 6,07 у 2021 році (норматив &gt;1,0). Станом на 31.12.2021 року коефіцієнт загальної ліквідності становить 6,07. Значення коефіцієнта свідчить про достатність ресурсів Товариства, які можуть бути використані для погашення його поточних зобов’язань. Товариство спроможне за рахунок оборотних активів погасити 100% своїх поточних зобов’язань. </w:t>
      </w:r>
    </w:p>
    <w:p>
      <w:pPr>
        <w:pStyle w:val="ListParagraph"/>
        <w:numPr>
          <w:ilvl w:val="1"/>
          <w:numId w:val="1"/>
        </w:numPr>
        <w:tabs>
          <w:tab w:val="clear" w:pos="708"/>
          <w:tab w:val="left" w:pos="567" w:leader="none"/>
        </w:tabs>
        <w:spacing w:lineRule="atLeast" w:line="240" w:before="160" w:after="0"/>
        <w:ind w:left="0" w:right="-28" w:hanging="0"/>
        <w:contextualSpacing w:val="false"/>
        <w:jc w:val="both"/>
        <w:rPr>
          <w:rFonts w:ascii="Times New Roman" w:hAnsi="Times New Roman" w:cs="Times New Roman"/>
          <w:sz w:val="24"/>
          <w:szCs w:val="24"/>
          <w:lang w:val="uk-UA"/>
        </w:rPr>
      </w:pPr>
      <w:r>
        <w:rPr>
          <w:rFonts w:cs="Times New Roman" w:ascii="Times New Roman" w:hAnsi="Times New Roman"/>
          <w:i/>
          <w:sz w:val="24"/>
          <w:szCs w:val="24"/>
          <w:lang w:val="uk-UA"/>
        </w:rPr>
        <w:t>Коефіцієнт поточної (швидкої) ліквідності</w:t>
      </w:r>
      <w:r>
        <w:rPr>
          <w:rFonts w:cs="Times New Roman" w:ascii="Times New Roman" w:hAnsi="Times New Roman"/>
          <w:sz w:val="24"/>
          <w:szCs w:val="24"/>
          <w:lang w:val="uk-UA"/>
        </w:rPr>
        <w:t xml:space="preserve"> відображає платіжні можливості Товариства щодо сплати поточних зобов'язань за умови своєчасного проведення розрахунків з дебіторами (розраховується як відношення найбільш ліквідних оборотних засобів (грошових коштів та їх еквівалентів, поточних фінансових інвестицій та дебіторської заборгованості) до поточних зобов'язань Товариства). Протягом періоду значення цього показника зменшилось з 27,03 у 2017 році до 6,07 у 2021 році (норматив &gt;0,6-0,8). Станом на 31.12.2021 року коефіцієнт поточної (швидкої) ліквідності становить 6,07. Значення коефіцієнта свідчить про спроможність Товариства сплатити 100% своїх поточних зобов’язань за умови своєчасного погашення дебіторської заборгованості. </w:t>
      </w:r>
    </w:p>
    <w:p>
      <w:pPr>
        <w:pStyle w:val="ListParagraph"/>
        <w:numPr>
          <w:ilvl w:val="1"/>
          <w:numId w:val="1"/>
        </w:numPr>
        <w:tabs>
          <w:tab w:val="clear" w:pos="708"/>
          <w:tab w:val="left" w:pos="567" w:leader="none"/>
        </w:tabs>
        <w:spacing w:lineRule="atLeast" w:line="240" w:before="160" w:after="0"/>
        <w:ind w:left="0" w:right="-28" w:hanging="0"/>
        <w:contextualSpacing w:val="false"/>
        <w:jc w:val="both"/>
        <w:rPr>
          <w:rFonts w:ascii="Times New Roman" w:hAnsi="Times New Roman" w:cs="Times New Roman"/>
          <w:sz w:val="24"/>
          <w:szCs w:val="24"/>
          <w:lang w:val="uk-UA"/>
        </w:rPr>
      </w:pPr>
      <w:r>
        <w:rPr>
          <w:rFonts w:cs="Times New Roman" w:ascii="Times New Roman" w:hAnsi="Times New Roman"/>
          <w:i/>
          <w:iCs/>
          <w:sz w:val="24"/>
          <w:szCs w:val="24"/>
          <w:lang w:val="uk-UA"/>
        </w:rPr>
        <w:t>Коефіцієнт абсолютної (строкової) ліквідності</w:t>
      </w:r>
      <w:r>
        <w:rPr>
          <w:rFonts w:cs="Times New Roman" w:ascii="Times New Roman" w:hAnsi="Times New Roman"/>
          <w:sz w:val="24"/>
          <w:szCs w:val="24"/>
          <w:lang w:val="uk-UA"/>
        </w:rPr>
        <w:t xml:space="preserve">, що характеризує частину поточних зобов’язань, яка може бути сплачена негайно (розраховується як відношення грошових коштів та їхніх еквівалентів і поточних фінансових інвестицій до поточних зобов'язань). Протягом періоду значення цього показника знаходилось у діапазоні від 0,09 до 0,5 (норматив &gt;0). Станом на 31.12.2021 року коефіцієнт абсолютної (строкової) ліквідності становить 0,16. Значення коефіцієнта свідчить про спроможність Товариства погасити негайно 16% своїх поточних зобов’язань. </w:t>
      </w:r>
    </w:p>
    <w:p>
      <w:pPr>
        <w:pStyle w:val="Normal"/>
        <w:spacing w:lineRule="atLeast" w:line="240" w:before="120" w:after="160"/>
        <w:ind w:right="-30" w:firstLine="567"/>
        <w:jc w:val="both"/>
        <w:rPr>
          <w:rFonts w:ascii="Times New Roman" w:hAnsi="Times New Roman" w:cs="Times New Roman"/>
          <w:b/>
          <w:b/>
          <w:sz w:val="24"/>
          <w:szCs w:val="24"/>
          <w:lang w:val="uk-UA"/>
        </w:rPr>
      </w:pPr>
      <w:r>
        <w:rPr>
          <w:rFonts w:cs="Times New Roman" w:ascii="Times New Roman" w:hAnsi="Times New Roman"/>
          <w:b/>
          <w:sz w:val="24"/>
          <w:szCs w:val="24"/>
          <w:lang w:val="uk-UA"/>
        </w:rPr>
        <w:t xml:space="preserve">Протягом всього періоду існування ТОВ «УМ ФАКТОРИНГ» показники ліквідності перевищують нормативно встановлений рівень, що свідчить про платоспроможність Товариства.  Товариство має достатньо оборотних активів для погашення поточних зобов’язань та розширення подальшої діяльності. Стосовно зменшення значення коефіцієнтів загальної і поточної (швидкої) ліквідності протягом періоду, що аналізується, слід зазначити, що занадто високі показники ліквідності свідчать про неефективне використання капіталу Товариства на формування непродуктивних активів. Таким чином, зниження зазначених показників носить позитивний характер і пов’язано з оптимізацію використання активів Товариства. </w:t>
      </w:r>
    </w:p>
    <w:p>
      <w:pPr>
        <w:pStyle w:val="ListParagraph"/>
        <w:numPr>
          <w:ilvl w:val="0"/>
          <w:numId w:val="1"/>
        </w:numPr>
        <w:tabs>
          <w:tab w:val="clear" w:pos="708"/>
          <w:tab w:val="left" w:pos="851" w:leader="none"/>
        </w:tabs>
        <w:spacing w:before="120" w:after="120"/>
        <w:ind w:left="0" w:right="-28" w:firstLine="567"/>
        <w:contextualSpacing/>
        <w:jc w:val="both"/>
        <w:rPr>
          <w:rFonts w:ascii="Times New Roman" w:hAnsi="Times New Roman" w:cs="Times New Roman"/>
          <w:b/>
          <w:b/>
          <w:sz w:val="24"/>
          <w:szCs w:val="24"/>
          <w:lang w:val="uk-UA"/>
        </w:rPr>
      </w:pPr>
      <w:r>
        <w:rPr>
          <w:rFonts w:cs="Times New Roman" w:ascii="Times New Roman" w:hAnsi="Times New Roman"/>
          <w:b/>
          <w:sz w:val="24"/>
          <w:szCs w:val="24"/>
          <w:lang w:val="uk-UA"/>
        </w:rPr>
        <w:t>Коефіцієнти фінансової стійкості:</w:t>
      </w:r>
    </w:p>
    <w:p>
      <w:pPr>
        <w:pStyle w:val="NoSpacing"/>
        <w:spacing w:lineRule="atLeast" w:line="240" w:before="120" w:after="12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 xml:space="preserve">Фінансова стійкість характеризує фінансову стабільність підприємства, його здатність залишатися платоспроможним в довгостроковій перспективі. </w:t>
      </w:r>
    </w:p>
    <w:tbl>
      <w:tblPr>
        <w:tblW w:w="12532" w:type="dxa"/>
        <w:jc w:val="left"/>
        <w:tblInd w:w="846" w:type="dxa"/>
        <w:tblLayout w:type="fixed"/>
        <w:tblCellMar>
          <w:top w:w="0" w:type="dxa"/>
          <w:left w:w="108" w:type="dxa"/>
          <w:bottom w:w="0" w:type="dxa"/>
          <w:right w:w="108" w:type="dxa"/>
        </w:tblCellMar>
        <w:tblLook w:val="04a0" w:noHBand="0" w:noVBand="1" w:firstColumn="1" w:lastRow="0" w:lastColumn="0" w:firstRow="1"/>
      </w:tblPr>
      <w:tblGrid>
        <w:gridCol w:w="540"/>
        <w:gridCol w:w="2339"/>
        <w:gridCol w:w="1365"/>
        <w:gridCol w:w="821"/>
        <w:gridCol w:w="822"/>
        <w:gridCol w:w="821"/>
        <w:gridCol w:w="821"/>
        <w:gridCol w:w="821"/>
        <w:gridCol w:w="1005"/>
        <w:gridCol w:w="992"/>
        <w:gridCol w:w="1080"/>
        <w:gridCol w:w="1083"/>
        <w:gridCol w:w="21"/>
      </w:tblGrid>
      <w:tr>
        <w:trPr>
          <w:trHeight w:val="300" w:hRule="atLeast"/>
        </w:trPr>
        <w:tc>
          <w:tcPr>
            <w:tcW w:w="540"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 xml:space="preserve">№ </w:t>
            </w:r>
            <w:r>
              <w:rPr>
                <w:rFonts w:eastAsia="Times New Roman" w:cs="Times New Roman" w:ascii="Times New Roman" w:hAnsi="Times New Roman"/>
                <w:color w:val="FFFFFF"/>
                <w:lang w:val="uk-UA" w:eastAsia="uk-UA"/>
              </w:rPr>
              <w:t>п/п</w:t>
            </w:r>
          </w:p>
        </w:tc>
        <w:tc>
          <w:tcPr>
            <w:tcW w:w="2339"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Показники</w:t>
            </w:r>
          </w:p>
        </w:tc>
        <w:tc>
          <w:tcPr>
            <w:tcW w:w="1365"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Нормативне значення</w:t>
            </w:r>
          </w:p>
        </w:tc>
        <w:tc>
          <w:tcPr>
            <w:tcW w:w="821"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2017р.</w:t>
            </w:r>
          </w:p>
        </w:tc>
        <w:tc>
          <w:tcPr>
            <w:tcW w:w="822"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2018р.</w:t>
            </w:r>
          </w:p>
        </w:tc>
        <w:tc>
          <w:tcPr>
            <w:tcW w:w="821"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2019р.</w:t>
            </w:r>
          </w:p>
        </w:tc>
        <w:tc>
          <w:tcPr>
            <w:tcW w:w="821"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2020р.</w:t>
            </w:r>
          </w:p>
        </w:tc>
        <w:tc>
          <w:tcPr>
            <w:tcW w:w="821"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2021р.</w:t>
            </w:r>
          </w:p>
        </w:tc>
        <w:tc>
          <w:tcPr>
            <w:tcW w:w="4181" w:type="dxa"/>
            <w:gridSpan w:val="5"/>
            <w:tcBorders>
              <w:top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Відхилення, +,-</w:t>
            </w:r>
          </w:p>
        </w:tc>
      </w:tr>
      <w:tr>
        <w:trPr>
          <w:trHeight w:val="1041" w:hRule="atLeast"/>
        </w:trPr>
        <w:tc>
          <w:tcPr>
            <w:tcW w:w="540"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2339"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1365"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1"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2"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1"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1"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1"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1005"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2018р. від 2017р. </w:t>
            </w:r>
          </w:p>
        </w:tc>
        <w:tc>
          <w:tcPr>
            <w:tcW w:w="992"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2019р. від 2018р. </w:t>
            </w:r>
          </w:p>
        </w:tc>
        <w:tc>
          <w:tcPr>
            <w:tcW w:w="1080"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2020р. від 2019р. </w:t>
            </w:r>
          </w:p>
        </w:tc>
        <w:tc>
          <w:tcPr>
            <w:tcW w:w="1083"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2021р. від 2020р. </w:t>
            </w:r>
          </w:p>
        </w:tc>
        <w:tc>
          <w:tcPr>
            <w:tcW w:w="21" w:type="dxa"/>
            <w:tcBorders/>
          </w:tcPr>
          <w:p>
            <w:pPr>
              <w:pStyle w:val="Normal"/>
              <w:widowControl w:val="false"/>
              <w:spacing w:before="0" w:after="160"/>
              <w:rPr/>
            </w:pPr>
            <w:r>
              <w:rPr/>
            </w:r>
          </w:p>
        </w:tc>
      </w:tr>
      <w:tr>
        <w:trPr>
          <w:trHeight w:val="300" w:hRule="atLeast"/>
        </w:trPr>
        <w:tc>
          <w:tcPr>
            <w:tcW w:w="540"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3.1</w:t>
            </w:r>
          </w:p>
        </w:tc>
        <w:tc>
          <w:tcPr>
            <w:tcW w:w="23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Коефіцієнт фінансування</w:t>
            </w:r>
          </w:p>
        </w:tc>
        <w:tc>
          <w:tcPr>
            <w:tcW w:w="1365"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&lt;1,0</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0,0387</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0,041</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0,0393</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0,1354</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0,1934</w:t>
            </w:r>
          </w:p>
        </w:tc>
        <w:tc>
          <w:tcPr>
            <w:tcW w:w="1005"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0,0023</w:t>
            </w:r>
          </w:p>
        </w:tc>
        <w:tc>
          <w:tcPr>
            <w:tcW w:w="99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-0,0017</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0,0961</w:t>
            </w:r>
          </w:p>
        </w:tc>
        <w:tc>
          <w:tcPr>
            <w:tcW w:w="1083"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0,0580</w:t>
            </w:r>
          </w:p>
        </w:tc>
        <w:tc>
          <w:tcPr>
            <w:tcW w:w="21" w:type="dxa"/>
            <w:tcBorders/>
          </w:tcPr>
          <w:p>
            <w:pPr>
              <w:pStyle w:val="Normal"/>
              <w:widowControl w:val="false"/>
              <w:spacing w:before="0" w:after="160"/>
              <w:rPr/>
            </w:pPr>
            <w:r>
              <w:rPr/>
            </w:r>
          </w:p>
        </w:tc>
      </w:tr>
      <w:tr>
        <w:trPr>
          <w:trHeight w:val="720" w:hRule="atLeast"/>
        </w:trPr>
        <w:tc>
          <w:tcPr>
            <w:tcW w:w="540"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3.2</w:t>
            </w:r>
          </w:p>
        </w:tc>
        <w:tc>
          <w:tcPr>
            <w:tcW w:w="23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Коефіцієнт платоспроможності (автономії)</w:t>
            </w:r>
          </w:p>
        </w:tc>
        <w:tc>
          <w:tcPr>
            <w:tcW w:w="1365"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&gt;0,5</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0,9628</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0,9607</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0,9622</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0,8807</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0,838</w:t>
            </w:r>
          </w:p>
        </w:tc>
        <w:tc>
          <w:tcPr>
            <w:tcW w:w="1005"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-0,0021</w:t>
            </w:r>
          </w:p>
        </w:tc>
        <w:tc>
          <w:tcPr>
            <w:tcW w:w="99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0,0015</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-0,0815</w:t>
            </w:r>
          </w:p>
        </w:tc>
        <w:tc>
          <w:tcPr>
            <w:tcW w:w="1083"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-0,0427</w:t>
            </w:r>
          </w:p>
        </w:tc>
        <w:tc>
          <w:tcPr>
            <w:tcW w:w="21" w:type="dxa"/>
            <w:tcBorders/>
          </w:tcPr>
          <w:p>
            <w:pPr>
              <w:pStyle w:val="Normal"/>
              <w:widowControl w:val="false"/>
              <w:spacing w:before="0" w:after="160"/>
              <w:rPr/>
            </w:pPr>
            <w:r>
              <w:rPr/>
            </w:r>
          </w:p>
        </w:tc>
      </w:tr>
      <w:tr>
        <w:trPr>
          <w:trHeight w:val="480" w:hRule="atLeast"/>
        </w:trPr>
        <w:tc>
          <w:tcPr>
            <w:tcW w:w="540"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3.3</w:t>
            </w:r>
          </w:p>
        </w:tc>
        <w:tc>
          <w:tcPr>
            <w:tcW w:w="233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Коефіцієнт маневреності власного капіталу</w:t>
            </w:r>
          </w:p>
        </w:tc>
        <w:tc>
          <w:tcPr>
            <w:tcW w:w="1365"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&gt;0</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0,9991</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0,9987</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0,9987</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0,9988</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0,9807</w:t>
            </w:r>
          </w:p>
        </w:tc>
        <w:tc>
          <w:tcPr>
            <w:tcW w:w="1005"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-0,0004</w:t>
            </w:r>
          </w:p>
        </w:tc>
        <w:tc>
          <w:tcPr>
            <w:tcW w:w="99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0,0000</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0,0001</w:t>
            </w:r>
          </w:p>
        </w:tc>
        <w:tc>
          <w:tcPr>
            <w:tcW w:w="1083"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-0,0181</w:t>
            </w:r>
          </w:p>
        </w:tc>
        <w:tc>
          <w:tcPr>
            <w:tcW w:w="21" w:type="dxa"/>
            <w:tcBorders/>
          </w:tcPr>
          <w:p>
            <w:pPr>
              <w:pStyle w:val="Normal"/>
              <w:widowControl w:val="false"/>
              <w:spacing w:before="0" w:after="160"/>
              <w:rPr/>
            </w:pPr>
            <w:r>
              <w:rPr/>
            </w:r>
          </w:p>
        </w:tc>
      </w:tr>
    </w:tbl>
    <w:p>
      <w:pPr>
        <w:pStyle w:val="NoSpacing"/>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ListParagraph"/>
        <w:spacing w:lineRule="atLeast" w:line="240" w:before="120" w:after="160"/>
        <w:ind w:left="567" w:right="-30" w:hanging="0"/>
        <w:contextualSpacing/>
        <w:jc w:val="both"/>
        <w:rPr>
          <w:rFonts w:ascii="Times New Roman" w:hAnsi="Times New Roman" w:cs="Times New Roman"/>
          <w:b/>
          <w:b/>
          <w:sz w:val="24"/>
          <w:szCs w:val="24"/>
          <w:lang w:val="uk-UA"/>
        </w:rPr>
      </w:pPr>
      <w:r>
        <w:rPr/>
        <w:drawing>
          <wp:inline distT="0" distB="0" distL="0" distR="0">
            <wp:extent cx="8153400" cy="2181225"/>
            <wp:effectExtent l="0" t="0" r="0" b="0"/>
            <wp:docPr id="2" name="Объект2"/>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p>
    <w:p>
      <w:pPr>
        <w:pStyle w:val="ListParagraph"/>
        <w:tabs>
          <w:tab w:val="clear" w:pos="708"/>
          <w:tab w:val="left" w:pos="567" w:leader="none"/>
        </w:tabs>
        <w:spacing w:lineRule="atLeast" w:line="240" w:before="160" w:after="0"/>
        <w:ind w:left="0" w:right="-28" w:hanging="0"/>
        <w:contextualSpacing w:val="false"/>
        <w:jc w:val="both"/>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ListParagraph"/>
        <w:numPr>
          <w:ilvl w:val="1"/>
          <w:numId w:val="1"/>
        </w:numPr>
        <w:tabs>
          <w:tab w:val="clear" w:pos="708"/>
          <w:tab w:val="left" w:pos="567" w:leader="none"/>
        </w:tabs>
        <w:spacing w:lineRule="atLeast" w:line="240" w:before="160" w:after="0"/>
        <w:ind w:left="0" w:right="-28" w:hanging="0"/>
        <w:contextualSpacing w:val="false"/>
        <w:jc w:val="both"/>
        <w:rPr>
          <w:rFonts w:ascii="Times New Roman" w:hAnsi="Times New Roman" w:cs="Times New Roman"/>
          <w:b/>
          <w:b/>
          <w:sz w:val="24"/>
          <w:szCs w:val="24"/>
          <w:lang w:val="uk-UA"/>
        </w:rPr>
      </w:pPr>
      <w:r>
        <w:rPr>
          <w:rFonts w:cs="Times New Roman" w:ascii="Times New Roman" w:hAnsi="Times New Roman"/>
          <w:i/>
          <w:iCs/>
          <w:sz w:val="24"/>
          <w:szCs w:val="24"/>
          <w:lang w:val="uk-UA"/>
        </w:rPr>
        <w:t>Коефіцієнт фінансування</w:t>
      </w:r>
      <w:r>
        <w:rPr>
          <w:rFonts w:cs="Times New Roman" w:ascii="Times New Roman" w:hAnsi="Times New Roman"/>
          <w:sz w:val="24"/>
          <w:szCs w:val="24"/>
          <w:lang w:val="uk-UA"/>
        </w:rPr>
        <w:t xml:space="preserve"> характеризує кількість залучених коштів на 1 грн. власних коштів Товариства (розраховується як співвідношення залучених та власних засобів). Протягом періоду значення цього показника зросло з 0,0387 у 2017 році до 0,1934  у 2021 році (норматив &lt;1,0). Станом на 31.12.2021 року коефіцієнт фінансування становить 0,1934. Значення коефіцієнта свідчить про те, що на 1 грн. власних коштів Товариства припадає 0,1934 грн. залучених коштів.</w:t>
      </w:r>
    </w:p>
    <w:p>
      <w:pPr>
        <w:pStyle w:val="ListParagraph"/>
        <w:numPr>
          <w:ilvl w:val="1"/>
          <w:numId w:val="1"/>
        </w:numPr>
        <w:tabs>
          <w:tab w:val="clear" w:pos="708"/>
          <w:tab w:val="left" w:pos="567" w:leader="none"/>
        </w:tabs>
        <w:spacing w:lineRule="atLeast" w:line="240" w:before="160" w:after="0"/>
        <w:ind w:left="0" w:right="-28" w:hanging="0"/>
        <w:contextualSpacing w:val="false"/>
        <w:jc w:val="both"/>
        <w:rPr>
          <w:rFonts w:ascii="Times New Roman" w:hAnsi="Times New Roman" w:cs="Times New Roman"/>
          <w:sz w:val="24"/>
          <w:szCs w:val="24"/>
          <w:lang w:val="uk-UA"/>
        </w:rPr>
      </w:pPr>
      <w:r>
        <w:rPr>
          <w:rFonts w:cs="Times New Roman" w:ascii="Times New Roman" w:hAnsi="Times New Roman"/>
          <w:i/>
          <w:iCs/>
          <w:sz w:val="24"/>
          <w:szCs w:val="24"/>
          <w:lang w:val="uk-UA"/>
        </w:rPr>
        <w:t>Коефіцієнт платоспроможності (автономії)</w:t>
      </w:r>
      <w:r>
        <w:rPr>
          <w:rFonts w:cs="Times New Roman" w:ascii="Times New Roman" w:hAnsi="Times New Roman"/>
          <w:sz w:val="24"/>
          <w:szCs w:val="24"/>
          <w:lang w:val="uk-UA"/>
        </w:rPr>
        <w:t xml:space="preserve"> показує питому вагу власного капіталу в загальній сумі засобів, авансованих у його діяльність (розраховується як відношення власного капіталу Товариства до підсумку балансу Товариства). Протягом періоду значення цього показника зменшилось з 0,9628 у 2017 році до 0,838 у 2021 році (норматив &gt;0,5). Станом на 31.12.2021 року коефіцієнт платоспроможності (автономії) становить 0,838. Значення коефіцієнту свідчить про те, що питома вага власного капіталу в загальній сумі засобів, авансованих в діяльність Товариства,</w:t>
      </w:r>
      <w:bookmarkStart w:id="0" w:name="_GoBack"/>
      <w:bookmarkEnd w:id="0"/>
      <w:r>
        <w:rPr>
          <w:rFonts w:cs="Times New Roman" w:ascii="Times New Roman" w:hAnsi="Times New Roman"/>
          <w:sz w:val="24"/>
          <w:szCs w:val="24"/>
          <w:lang w:val="uk-UA"/>
        </w:rPr>
        <w:t xml:space="preserve"> становить від 83,8%.</w:t>
      </w:r>
    </w:p>
    <w:p>
      <w:pPr>
        <w:pStyle w:val="ListParagraph"/>
        <w:numPr>
          <w:ilvl w:val="1"/>
          <w:numId w:val="1"/>
        </w:numPr>
        <w:tabs>
          <w:tab w:val="clear" w:pos="708"/>
          <w:tab w:val="left" w:pos="567" w:leader="none"/>
        </w:tabs>
        <w:spacing w:lineRule="atLeast" w:line="240" w:before="160" w:after="0"/>
        <w:ind w:left="0" w:right="-28" w:hanging="0"/>
        <w:contextualSpacing w:val="false"/>
        <w:jc w:val="both"/>
        <w:rPr>
          <w:rFonts w:ascii="Times New Roman" w:hAnsi="Times New Roman" w:cs="Times New Roman"/>
          <w:sz w:val="24"/>
          <w:szCs w:val="24"/>
          <w:lang w:val="uk-UA"/>
        </w:rPr>
      </w:pPr>
      <w:r>
        <w:rPr>
          <w:rFonts w:cs="Times New Roman" w:ascii="Times New Roman" w:hAnsi="Times New Roman"/>
          <w:i/>
          <w:iCs/>
          <w:sz w:val="24"/>
          <w:szCs w:val="24"/>
          <w:lang w:val="uk-UA"/>
        </w:rPr>
        <w:t>Коефіцієнт маневреності власного капіталу</w:t>
      </w:r>
      <w:r>
        <w:rPr>
          <w:rFonts w:cs="Times New Roman" w:ascii="Times New Roman" w:hAnsi="Times New Roman"/>
          <w:sz w:val="24"/>
          <w:szCs w:val="24"/>
          <w:lang w:val="uk-UA"/>
        </w:rPr>
        <w:t xml:space="preserve"> показує, яка частина власного капіталу використовується для фінансування поточної діяльності, тобто вкладена в оборотні засоби, а яка – капіталізована (розраховується як відношення чистого оборотного капіталу до власного капіталу). Протягом періоду значення цього показника зменшилось з 0,9991 у 2017 році до 0,9807 у 2021 році (норматив &gt;0). Станом на 31.12.2021 року коефіцієнт маневреності власного капіталу становить 0,9807. Значення коефіцієнту свідчить про те, що для фінансування поточної діяльності Товариства використовується 98,07% власного капіталу, при цьому капіталізовано від 1,93% власного капіталу.</w:t>
      </w:r>
    </w:p>
    <w:p>
      <w:pPr>
        <w:pStyle w:val="Normal"/>
        <w:spacing w:lineRule="atLeast" w:line="240" w:before="120" w:after="160"/>
        <w:ind w:right="-28" w:firstLine="567"/>
        <w:jc w:val="both"/>
        <w:rPr>
          <w:rFonts w:ascii="Times New Roman" w:hAnsi="Times New Roman" w:cs="Times New Roman"/>
          <w:b/>
          <w:b/>
          <w:sz w:val="24"/>
          <w:szCs w:val="24"/>
          <w:lang w:val="uk-UA"/>
        </w:rPr>
      </w:pPr>
      <w:r>
        <w:rPr>
          <w:rFonts w:cs="Times New Roman" w:ascii="Times New Roman" w:hAnsi="Times New Roman"/>
          <w:b/>
          <w:sz w:val="24"/>
          <w:szCs w:val="24"/>
          <w:lang w:val="uk-UA"/>
        </w:rPr>
        <w:t>Протягом всього періоду Товариство характеризується фінансовою стійкістю, незалежністю від зовнішніх джерел фінансування і низьким рівнем фінансових ризиків. Фінансування діяльності забезпечується за рахунок власного капіталу, власний капітал використовується для фінансування поточної діяльності, рівень капіталізації – низький.</w:t>
      </w:r>
    </w:p>
    <w:p>
      <w:pPr>
        <w:pStyle w:val="ListParagraph"/>
        <w:numPr>
          <w:ilvl w:val="0"/>
          <w:numId w:val="1"/>
        </w:numPr>
        <w:tabs>
          <w:tab w:val="clear" w:pos="708"/>
          <w:tab w:val="left" w:pos="851" w:leader="none"/>
        </w:tabs>
        <w:spacing w:before="120" w:after="120"/>
        <w:ind w:left="0" w:right="-28" w:firstLine="567"/>
        <w:contextualSpacing/>
        <w:jc w:val="both"/>
        <w:rPr>
          <w:rFonts w:ascii="Times New Roman" w:hAnsi="Times New Roman" w:cs="Times New Roman"/>
          <w:b/>
          <w:b/>
          <w:sz w:val="24"/>
          <w:szCs w:val="24"/>
          <w:lang w:val="uk-UA"/>
        </w:rPr>
      </w:pPr>
      <w:r>
        <w:rPr>
          <w:rFonts w:cs="Times New Roman" w:ascii="Times New Roman" w:hAnsi="Times New Roman"/>
          <w:b/>
          <w:sz w:val="24"/>
          <w:szCs w:val="24"/>
          <w:lang w:val="uk-UA"/>
        </w:rPr>
        <w:t>Коефіцієнти рентабельності</w:t>
      </w:r>
    </w:p>
    <w:p>
      <w:pPr>
        <w:pStyle w:val="NoSpacing"/>
        <w:spacing w:lineRule="atLeast" w:line="240" w:before="120" w:after="12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t>Показники рентабельності демонструють наскільки ефективно використовуються ресурси підприємства.</w:t>
      </w:r>
    </w:p>
    <w:tbl>
      <w:tblPr>
        <w:tblW w:w="12599" w:type="dxa"/>
        <w:jc w:val="left"/>
        <w:tblInd w:w="846" w:type="dxa"/>
        <w:tblLayout w:type="fixed"/>
        <w:tblCellMar>
          <w:top w:w="0" w:type="dxa"/>
          <w:left w:w="108" w:type="dxa"/>
          <w:bottom w:w="0" w:type="dxa"/>
          <w:right w:w="108" w:type="dxa"/>
        </w:tblCellMar>
        <w:tblLook w:val="04a0" w:noHBand="0" w:noVBand="1" w:firstColumn="1" w:lastRow="0" w:lastColumn="0" w:firstRow="1"/>
      </w:tblPr>
      <w:tblGrid>
        <w:gridCol w:w="540"/>
        <w:gridCol w:w="2340"/>
        <w:gridCol w:w="1364"/>
        <w:gridCol w:w="822"/>
        <w:gridCol w:w="821"/>
        <w:gridCol w:w="820"/>
        <w:gridCol w:w="822"/>
        <w:gridCol w:w="821"/>
        <w:gridCol w:w="1006"/>
        <w:gridCol w:w="1079"/>
        <w:gridCol w:w="1080"/>
        <w:gridCol w:w="1083"/>
      </w:tblGrid>
      <w:tr>
        <w:trPr>
          <w:trHeight w:val="300" w:hRule="atLeast"/>
        </w:trPr>
        <w:tc>
          <w:tcPr>
            <w:tcW w:w="540"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cs="Times New Roman" w:ascii="Times New Roman" w:hAnsi="Times New Roman"/>
                <w:sz w:val="24"/>
                <w:szCs w:val="24"/>
                <w:lang w:val="uk-UA"/>
              </w:rPr>
              <w:t xml:space="preserve"> </w:t>
            </w:r>
            <w:r>
              <w:rPr>
                <w:rFonts w:eastAsia="Times New Roman" w:cs="Times New Roman" w:ascii="Times New Roman" w:hAnsi="Times New Roman"/>
                <w:color w:val="FFFFFF"/>
                <w:lang w:val="uk-UA" w:eastAsia="uk-UA"/>
              </w:rPr>
              <w:t xml:space="preserve">№ </w:t>
            </w:r>
            <w:r>
              <w:rPr>
                <w:rFonts w:eastAsia="Times New Roman" w:cs="Times New Roman" w:ascii="Times New Roman" w:hAnsi="Times New Roman"/>
                <w:color w:val="FFFFFF"/>
                <w:lang w:val="uk-UA" w:eastAsia="uk-UA"/>
              </w:rPr>
              <w:t>п/п</w:t>
            </w:r>
          </w:p>
        </w:tc>
        <w:tc>
          <w:tcPr>
            <w:tcW w:w="2340"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Показники</w:t>
            </w:r>
          </w:p>
        </w:tc>
        <w:tc>
          <w:tcPr>
            <w:tcW w:w="1364"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Нормативне значення</w:t>
            </w:r>
          </w:p>
        </w:tc>
        <w:tc>
          <w:tcPr>
            <w:tcW w:w="822"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2017р.</w:t>
            </w:r>
          </w:p>
        </w:tc>
        <w:tc>
          <w:tcPr>
            <w:tcW w:w="821"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2018р.</w:t>
            </w:r>
          </w:p>
        </w:tc>
        <w:tc>
          <w:tcPr>
            <w:tcW w:w="820"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2019р.</w:t>
            </w:r>
          </w:p>
        </w:tc>
        <w:tc>
          <w:tcPr>
            <w:tcW w:w="822"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2020р.</w:t>
            </w:r>
          </w:p>
        </w:tc>
        <w:tc>
          <w:tcPr>
            <w:tcW w:w="821" w:type="dxa"/>
            <w:vMerge w:val="restart"/>
            <w:tcBorders>
              <w:top w:val="single" w:sz="4" w:space="0" w:color="A6A6A6"/>
              <w:left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2021р.</w:t>
            </w:r>
          </w:p>
        </w:tc>
        <w:tc>
          <w:tcPr>
            <w:tcW w:w="4248" w:type="dxa"/>
            <w:gridSpan w:val="4"/>
            <w:tcBorders>
              <w:top w:val="single" w:sz="4" w:space="0" w:color="A6A6A6"/>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t>Відхилення, +,-</w:t>
            </w:r>
          </w:p>
        </w:tc>
      </w:tr>
      <w:tr>
        <w:trPr>
          <w:trHeight w:val="675" w:hRule="atLeast"/>
        </w:trPr>
        <w:tc>
          <w:tcPr>
            <w:tcW w:w="540"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2340"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1364"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2"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1"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0"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2"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821" w:type="dxa"/>
            <w:vMerge w:val="continue"/>
            <w:tcBorders>
              <w:top w:val="single" w:sz="4" w:space="0" w:color="A6A6A6"/>
              <w:left w:val="single" w:sz="4" w:space="0" w:color="A6A6A6"/>
              <w:bottom w:val="single" w:sz="4" w:space="0" w:color="A6A6A6"/>
              <w:right w:val="single" w:sz="4" w:space="0" w:color="A6A6A6"/>
            </w:tcBorders>
            <w:vAlign w:val="center"/>
          </w:tcPr>
          <w:p>
            <w:pPr>
              <w:pStyle w:val="Normal"/>
              <w:widowControl w:val="false"/>
              <w:spacing w:lineRule="auto" w:line="240" w:before="0" w:after="0"/>
              <w:rPr>
                <w:rFonts w:ascii="Times New Roman" w:hAnsi="Times New Roman" w:eastAsia="Times New Roman" w:cs="Times New Roman"/>
                <w:color w:val="FFFFFF"/>
                <w:lang w:val="uk-UA" w:eastAsia="uk-UA"/>
              </w:rPr>
            </w:pPr>
            <w:r>
              <w:rPr>
                <w:rFonts w:eastAsia="Times New Roman" w:cs="Times New Roman" w:ascii="Times New Roman" w:hAnsi="Times New Roman"/>
                <w:color w:val="FFFFFF"/>
                <w:lang w:val="uk-UA" w:eastAsia="uk-UA"/>
              </w:rPr>
            </w:r>
          </w:p>
        </w:tc>
        <w:tc>
          <w:tcPr>
            <w:tcW w:w="1006"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2018р. від 2017р. </w:t>
            </w:r>
          </w:p>
        </w:tc>
        <w:tc>
          <w:tcPr>
            <w:tcW w:w="1079"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2019р. від 2018р. </w:t>
            </w:r>
          </w:p>
        </w:tc>
        <w:tc>
          <w:tcPr>
            <w:tcW w:w="1080"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2020р. від 2019р. </w:t>
            </w:r>
          </w:p>
        </w:tc>
        <w:tc>
          <w:tcPr>
            <w:tcW w:w="1083" w:type="dxa"/>
            <w:tcBorders>
              <w:bottom w:val="single" w:sz="4" w:space="0" w:color="A6A6A6"/>
              <w:right w:val="single" w:sz="4" w:space="0" w:color="A6A6A6"/>
            </w:tcBorders>
            <w:shd w:color="000000" w:fill="333399" w:val="clear"/>
            <w:vAlign w:val="center"/>
          </w:tcPr>
          <w:p>
            <w:pPr>
              <w:pStyle w:val="Normal"/>
              <w:widowControl w:val="false"/>
              <w:spacing w:lineRule="auto" w:line="240" w:before="0" w:after="0"/>
              <w:jc w:val="center"/>
              <w:rPr>
                <w:rFonts w:ascii="Times New Roman" w:hAnsi="Times New Roman" w:eastAsia="Times New Roman" w:cs="Times New Roman"/>
                <w:color w:val="FFFFFF"/>
                <w:sz w:val="18"/>
                <w:szCs w:val="18"/>
                <w:lang w:val="uk-UA" w:eastAsia="uk-UA"/>
              </w:rPr>
            </w:pPr>
            <w:r>
              <w:rPr>
                <w:rFonts w:eastAsia="Times New Roman" w:cs="Times New Roman" w:ascii="Times New Roman" w:hAnsi="Times New Roman"/>
                <w:color w:val="FFFFFF"/>
                <w:sz w:val="18"/>
                <w:szCs w:val="18"/>
                <w:lang w:val="uk-UA" w:eastAsia="uk-UA"/>
              </w:rPr>
              <w:t xml:space="preserve">2021р. від 2020р. </w:t>
            </w:r>
          </w:p>
        </w:tc>
      </w:tr>
      <w:tr>
        <w:trPr>
          <w:trHeight w:val="480" w:hRule="atLeast"/>
        </w:trPr>
        <w:tc>
          <w:tcPr>
            <w:tcW w:w="540"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4.1</w:t>
            </w:r>
          </w:p>
        </w:tc>
        <w:tc>
          <w:tcPr>
            <w:tcW w:w="234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Коефіцієнт рентабельності активів</w:t>
            </w:r>
          </w:p>
        </w:tc>
        <w:tc>
          <w:tcPr>
            <w:tcW w:w="1364"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&gt;0</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0,0006</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-0,0546</w:t>
            </w:r>
          </w:p>
        </w:tc>
        <w:tc>
          <w:tcPr>
            <w:tcW w:w="82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0,0157</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0,0623</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0,1294</w:t>
            </w:r>
          </w:p>
        </w:tc>
        <w:tc>
          <w:tcPr>
            <w:tcW w:w="1006"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-0,0552</w:t>
            </w:r>
          </w:p>
        </w:tc>
        <w:tc>
          <w:tcPr>
            <w:tcW w:w="107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0,0703</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0,0466</w:t>
            </w:r>
          </w:p>
        </w:tc>
        <w:tc>
          <w:tcPr>
            <w:tcW w:w="1083"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0,0671</w:t>
            </w:r>
          </w:p>
        </w:tc>
      </w:tr>
      <w:tr>
        <w:trPr>
          <w:trHeight w:val="480" w:hRule="atLeast"/>
        </w:trPr>
        <w:tc>
          <w:tcPr>
            <w:tcW w:w="540" w:type="dxa"/>
            <w:tcBorders>
              <w:left w:val="single" w:sz="4" w:space="0" w:color="A6A6A6"/>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4.3</w:t>
            </w:r>
          </w:p>
        </w:tc>
        <w:tc>
          <w:tcPr>
            <w:tcW w:w="234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Коефіцієнт рентабельності власного капіталу</w:t>
            </w:r>
          </w:p>
        </w:tc>
        <w:tc>
          <w:tcPr>
            <w:tcW w:w="1364"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&gt;0</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0,0006</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-0,0568</w:t>
            </w:r>
          </w:p>
        </w:tc>
        <w:tc>
          <w:tcPr>
            <w:tcW w:w="82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0,0164</w:t>
            </w:r>
          </w:p>
        </w:tc>
        <w:tc>
          <w:tcPr>
            <w:tcW w:w="822"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0,0678</w:t>
            </w:r>
          </w:p>
        </w:tc>
        <w:tc>
          <w:tcPr>
            <w:tcW w:w="821"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0,151</w:t>
            </w:r>
          </w:p>
        </w:tc>
        <w:tc>
          <w:tcPr>
            <w:tcW w:w="1006"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-0,0574</w:t>
            </w:r>
          </w:p>
        </w:tc>
        <w:tc>
          <w:tcPr>
            <w:tcW w:w="1079"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0,0732</w:t>
            </w:r>
          </w:p>
        </w:tc>
        <w:tc>
          <w:tcPr>
            <w:tcW w:w="1080"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0,0514</w:t>
            </w:r>
          </w:p>
        </w:tc>
        <w:tc>
          <w:tcPr>
            <w:tcW w:w="1083" w:type="dxa"/>
            <w:tcBorders>
              <w:bottom w:val="single" w:sz="4" w:space="0" w:color="A6A6A6"/>
              <w:right w:val="single" w:sz="4" w:space="0" w:color="A6A6A6"/>
            </w:tcBorders>
            <w:shd w:color="000000" w:fill="FFFFFF" w:val="clear"/>
            <w:vAlign w:val="center"/>
          </w:tcPr>
          <w:p>
            <w:pPr>
              <w:pStyle w:val="Normal"/>
              <w:widowControl w:val="false"/>
              <w:spacing w:lineRule="auto" w:line="240" w:before="0" w:after="0"/>
              <w:jc w:val="center"/>
              <w:rPr>
                <w:rFonts w:ascii="Times New Roman" w:hAnsi="Times New Roman" w:eastAsia="Times New Roman" w:cs="Times New Roman"/>
                <w:color w:val="000000"/>
                <w:sz w:val="18"/>
                <w:szCs w:val="18"/>
                <w:lang w:val="uk-UA" w:eastAsia="uk-UA"/>
              </w:rPr>
            </w:pPr>
            <w:r>
              <w:rPr>
                <w:rFonts w:eastAsia="Times New Roman" w:cs="Times New Roman" w:ascii="Times New Roman" w:hAnsi="Times New Roman"/>
                <w:color w:val="000000"/>
                <w:sz w:val="18"/>
                <w:szCs w:val="18"/>
                <w:lang w:val="uk-UA" w:eastAsia="uk-UA"/>
              </w:rPr>
              <w:t>0,0832</w:t>
            </w:r>
          </w:p>
        </w:tc>
      </w:tr>
    </w:tbl>
    <w:p>
      <w:pPr>
        <w:pStyle w:val="NoSpacing"/>
        <w:spacing w:lineRule="atLeast" w:line="240" w:before="120" w:after="120"/>
        <w:ind w:firstLine="567"/>
        <w:jc w:val="both"/>
        <w:rPr>
          <w:rFonts w:ascii="Times New Roman" w:hAnsi="Times New Roman" w:cs="Times New Roman"/>
          <w:sz w:val="24"/>
          <w:szCs w:val="24"/>
          <w:lang w:val="uk-UA"/>
        </w:rPr>
      </w:pPr>
      <w:r>
        <w:rPr>
          <w:rFonts w:cs="Times New Roman" w:ascii="Times New Roman" w:hAnsi="Times New Roman"/>
          <w:sz w:val="24"/>
          <w:szCs w:val="24"/>
          <w:lang w:val="uk-UA"/>
        </w:rPr>
      </w:r>
    </w:p>
    <w:p>
      <w:pPr>
        <w:pStyle w:val="Normal"/>
        <w:tabs>
          <w:tab w:val="clear" w:pos="708"/>
          <w:tab w:val="left" w:pos="851" w:leader="none"/>
        </w:tabs>
        <w:spacing w:before="120" w:after="120"/>
        <w:ind w:right="-28" w:hanging="0"/>
        <w:jc w:val="both"/>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tabs>
          <w:tab w:val="clear" w:pos="708"/>
          <w:tab w:val="left" w:pos="851" w:leader="none"/>
        </w:tabs>
        <w:spacing w:before="120" w:after="120"/>
        <w:ind w:right="-28" w:hanging="0"/>
        <w:jc w:val="both"/>
        <w:rPr>
          <w:rFonts w:ascii="Times New Roman" w:hAnsi="Times New Roman" w:cs="Times New Roman"/>
          <w:b/>
          <w:b/>
          <w:sz w:val="24"/>
          <w:szCs w:val="24"/>
          <w:lang w:val="uk-UA"/>
        </w:rPr>
      </w:pPr>
      <w:r>
        <w:rPr>
          <w:rFonts w:cs="Times New Roman" w:ascii="Times New Roman" w:hAnsi="Times New Roman"/>
          <w:b/>
          <w:sz w:val="24"/>
          <w:szCs w:val="24"/>
          <w:lang w:val="uk-UA"/>
        </w:rPr>
      </w:r>
    </w:p>
    <w:p>
      <w:pPr>
        <w:pStyle w:val="Normal"/>
        <w:tabs>
          <w:tab w:val="clear" w:pos="708"/>
          <w:tab w:val="left" w:pos="851" w:leader="none"/>
        </w:tabs>
        <w:spacing w:before="120" w:after="120"/>
        <w:ind w:left="567" w:right="-28" w:hanging="0"/>
        <w:jc w:val="both"/>
        <w:rPr>
          <w:rFonts w:ascii="Times New Roman" w:hAnsi="Times New Roman" w:cs="Times New Roman"/>
          <w:b/>
          <w:b/>
          <w:sz w:val="24"/>
          <w:szCs w:val="24"/>
          <w:lang w:val="uk-UA"/>
        </w:rPr>
      </w:pPr>
      <w:r>
        <w:rPr/>
        <w:drawing>
          <wp:inline distT="0" distB="0" distL="0" distR="0">
            <wp:extent cx="8153400" cy="2466975"/>
            <wp:effectExtent l="0" t="0" r="0" b="0"/>
            <wp:docPr id="3" name="Объект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ListParagraph"/>
        <w:numPr>
          <w:ilvl w:val="1"/>
          <w:numId w:val="1"/>
        </w:numPr>
        <w:tabs>
          <w:tab w:val="clear" w:pos="708"/>
          <w:tab w:val="left" w:pos="567" w:leader="none"/>
        </w:tabs>
        <w:spacing w:lineRule="atLeast" w:line="240" w:before="160" w:after="0"/>
        <w:ind w:left="0" w:right="-28" w:hanging="0"/>
        <w:contextualSpacing w:val="false"/>
        <w:jc w:val="both"/>
        <w:rPr>
          <w:rFonts w:ascii="Times New Roman" w:hAnsi="Times New Roman" w:cs="Times New Roman"/>
          <w:iCs/>
          <w:sz w:val="24"/>
          <w:szCs w:val="24"/>
          <w:lang w:val="uk-UA"/>
        </w:rPr>
      </w:pPr>
      <w:r>
        <w:rPr>
          <w:rFonts w:cs="Times New Roman" w:ascii="Times New Roman" w:hAnsi="Times New Roman"/>
          <w:i/>
          <w:iCs/>
          <w:sz w:val="24"/>
          <w:szCs w:val="24"/>
          <w:lang w:val="uk-UA"/>
        </w:rPr>
        <w:t>Коефіцієнт рентабельності активів</w:t>
      </w:r>
      <w:r>
        <w:rPr>
          <w:rFonts w:cs="Times New Roman" w:ascii="Times New Roman" w:hAnsi="Times New Roman"/>
          <w:sz w:val="24"/>
          <w:szCs w:val="24"/>
          <w:lang w:val="uk-UA"/>
        </w:rPr>
        <w:t xml:space="preserve"> характеризує ефективність використання активів Товариства (розраховується як відношення чистого прибутку Товариства до середньорічної вартості активів). Протягом періоду діяльності Товариства значення цього показника зросло з 0,0006 у 2017 році до 0,1294 у 2021 році (норматив &gt;0). Коефіцієнт рентабельності активів у 2021 році становить 0,1294. </w:t>
      </w:r>
      <w:r>
        <w:rPr>
          <w:rFonts w:cs="Times New Roman" w:ascii="Times New Roman" w:hAnsi="Times New Roman"/>
          <w:iCs/>
          <w:sz w:val="24"/>
          <w:szCs w:val="24"/>
          <w:lang w:val="uk-UA"/>
        </w:rPr>
        <w:t xml:space="preserve">Значення коефіцієнту свідчіть про те, що за 2021 рік на 1 грн. середньої вартості активів Товариство отримало прибуток в розмірі 0,1294 грн. </w:t>
      </w:r>
    </w:p>
    <w:p>
      <w:pPr>
        <w:pStyle w:val="ListParagraph"/>
        <w:numPr>
          <w:ilvl w:val="1"/>
          <w:numId w:val="1"/>
        </w:numPr>
        <w:tabs>
          <w:tab w:val="clear" w:pos="708"/>
          <w:tab w:val="left" w:pos="567" w:leader="none"/>
        </w:tabs>
        <w:spacing w:lineRule="atLeast" w:line="240" w:before="160" w:after="0"/>
        <w:ind w:left="0" w:right="-28" w:hanging="0"/>
        <w:contextualSpacing w:val="false"/>
        <w:jc w:val="both"/>
        <w:rPr>
          <w:rFonts w:ascii="Times New Roman" w:hAnsi="Times New Roman" w:cs="Times New Roman"/>
          <w:iCs/>
          <w:sz w:val="24"/>
          <w:szCs w:val="24"/>
          <w:lang w:val="uk-UA"/>
        </w:rPr>
      </w:pPr>
      <w:r>
        <w:rPr>
          <w:rFonts w:cs="Times New Roman" w:ascii="Times New Roman" w:hAnsi="Times New Roman"/>
          <w:i/>
          <w:iCs/>
          <w:sz w:val="24"/>
          <w:szCs w:val="24"/>
          <w:lang w:val="uk-UA"/>
        </w:rPr>
        <w:t>Коефіцієнт рентабельності власного капіталу</w:t>
      </w:r>
      <w:r>
        <w:rPr>
          <w:rFonts w:cs="Times New Roman" w:ascii="Times New Roman" w:hAnsi="Times New Roman"/>
          <w:sz w:val="24"/>
          <w:szCs w:val="24"/>
          <w:lang w:val="uk-UA"/>
        </w:rPr>
        <w:t xml:space="preserve"> характеризує ефективність вкладення коштів до даного Товариства (розраховується як відношення чистого прибутку Товариства до середньорічної вартості власного капіталу). Протягом періоду діяльності Товариства значення цього показника зросло з 0,0006 у 2017 році до 0,151 у 2021 році (норматив &gt;0). Коефіцієнт рентабельності власного капіталу у 2021 році становить 0,151. Значення коефіцієнту свідчіть про те, що за 2021 рік на 1 грн. середньої вартості власного капіталу Товариство</w:t>
      </w:r>
      <w:r>
        <w:rPr>
          <w:rFonts w:cs="Times New Roman" w:ascii="Times New Roman" w:hAnsi="Times New Roman"/>
          <w:iCs/>
          <w:sz w:val="24"/>
          <w:szCs w:val="24"/>
          <w:lang w:val="uk-UA"/>
        </w:rPr>
        <w:t xml:space="preserve"> отримало прибуток в розмірі 0,151 грн. </w:t>
      </w:r>
    </w:p>
    <w:p>
      <w:pPr>
        <w:pStyle w:val="Normal"/>
        <w:tabs>
          <w:tab w:val="clear" w:pos="708"/>
          <w:tab w:val="left" w:pos="1134" w:leader="none"/>
        </w:tabs>
        <w:spacing w:lineRule="atLeast" w:line="240" w:before="120" w:after="0"/>
        <w:ind w:right="-30" w:firstLine="567"/>
        <w:jc w:val="both"/>
        <w:rPr>
          <w:rFonts w:ascii="Times New Roman" w:hAnsi="Times New Roman" w:cs="Times New Roman"/>
          <w:b/>
          <w:b/>
          <w:sz w:val="24"/>
          <w:szCs w:val="24"/>
          <w:lang w:val="uk-UA"/>
        </w:rPr>
      </w:pPr>
      <w:r>
        <w:rPr>
          <w:rFonts w:cs="Times New Roman" w:ascii="Times New Roman" w:hAnsi="Times New Roman"/>
          <w:b/>
          <w:sz w:val="24"/>
          <w:szCs w:val="24"/>
          <w:lang w:val="uk-UA"/>
        </w:rPr>
        <w:t>Показники рентабельності мають тенденцію до зростання, що свідчить про стабільне зростання ефективності господарської діяльності Товариства.</w:t>
      </w:r>
    </w:p>
    <w:p>
      <w:pPr>
        <w:pStyle w:val="Normal"/>
        <w:spacing w:before="120" w:after="120"/>
        <w:ind w:right="-28" w:firstLine="567"/>
        <w:contextualSpacing/>
        <w:jc w:val="both"/>
        <w:rPr>
          <w:rFonts w:ascii="Times New Roman" w:hAnsi="Times New Roman" w:cs="Times New Roman"/>
          <w:b/>
          <w:b/>
          <w:sz w:val="24"/>
          <w:szCs w:val="24"/>
          <w:lang w:val="uk-UA"/>
        </w:rPr>
      </w:pPr>
      <w:r>
        <w:rPr>
          <w:rFonts w:cs="Times New Roman" w:ascii="Times New Roman" w:hAnsi="Times New Roman"/>
          <w:b/>
          <w:sz w:val="24"/>
          <w:szCs w:val="24"/>
          <w:u w:val="single"/>
          <w:lang w:val="uk-UA"/>
        </w:rPr>
        <w:t>Висновок:</w:t>
      </w:r>
      <w:r>
        <w:rPr>
          <w:rFonts w:cs="Times New Roman" w:ascii="Times New Roman" w:hAnsi="Times New Roman"/>
          <w:b/>
          <w:sz w:val="24"/>
          <w:szCs w:val="24"/>
          <w:lang w:val="uk-UA"/>
        </w:rPr>
        <w:t xml:space="preserve"> На підставі проведеного аналізу вищенаведених показників можна зробити висновок про те, що ТОВ «УМ ФАКТОРИНГ»  має задовільний фінансовий стан, є платоспроможним, ліквідним і фінансово стабільним. У Товариства достатньо оборотних активів для погашення поточних зобов’язань та розширення подальшої діяльності. ТОВ «УМ ФАКТОРИНГ» має високий рівень фінансової стійкості і не залежить від зовнішніх джерел фінансування. Фінансування діяльності Товариства забезпечується за рахунок власного капіталу. Діяльність Товариства є прибутковою, при цьому протягом останніх трьох років ефективність господарської діяльності Товариства стабільно зростає.</w:t>
      </w:r>
    </w:p>
    <w:p>
      <w:pPr>
        <w:pStyle w:val="Normal"/>
        <w:spacing w:before="120" w:after="120"/>
        <w:ind w:right="-28" w:firstLine="567"/>
        <w:contextualSpacing/>
        <w:jc w:val="both"/>
        <w:rPr>
          <w:rFonts w:ascii="Times New Roman" w:hAnsi="Times New Roman" w:cs="Times New Roman"/>
          <w:b/>
          <w:b/>
          <w:sz w:val="24"/>
          <w:szCs w:val="24"/>
          <w:lang w:val="uk-UA"/>
        </w:rPr>
      </w:pPr>
      <w:r>
        <w:rPr/>
      </w:r>
    </w:p>
    <w:p>
      <w:pPr>
        <w:pStyle w:val="Normal"/>
        <w:rPr>
          <w:rFonts w:ascii="Times New Roman" w:hAnsi="Times New Roman" w:cs="Times New Roman"/>
          <w:bCs/>
          <w:sz w:val="28"/>
          <w:szCs w:val="28"/>
          <w:u w:val="single"/>
        </w:rPr>
      </w:pPr>
      <w:r>
        <w:rPr>
          <w:rFonts w:cs="Times New Roman" w:ascii="Times New Roman" w:hAnsi="Times New Roman"/>
          <w:sz w:val="28"/>
          <w:szCs w:val="28"/>
          <w:u w:val="single"/>
        </w:rPr>
        <w:t xml:space="preserve">Аналіз фінансового стану </w:t>
      </w:r>
      <w:r>
        <w:rPr>
          <w:rFonts w:cs="Times New Roman" w:ascii="Times New Roman" w:hAnsi="Times New Roman"/>
          <w:bCs/>
          <w:sz w:val="28"/>
          <w:szCs w:val="28"/>
          <w:u w:val="single"/>
        </w:rPr>
        <w:t xml:space="preserve">проведено спеціалістами </w:t>
      </w:r>
    </w:p>
    <w:p>
      <w:pPr>
        <w:pStyle w:val="Normal"/>
        <w:spacing w:lineRule="atLeast" w:line="240" w:before="0" w:after="0"/>
        <w:rPr>
          <w:rFonts w:ascii="Times New Roman" w:hAnsi="Times New Roman" w:cs="Times New Roman"/>
          <w:b/>
          <w:b/>
          <w:sz w:val="24"/>
          <w:szCs w:val="24"/>
        </w:rPr>
      </w:pPr>
      <w:r>
        <w:rPr>
          <w:rFonts w:cs="Times New Roman" w:ascii="Times New Roman" w:hAnsi="Times New Roman"/>
          <w:b/>
          <w:sz w:val="24"/>
          <w:szCs w:val="24"/>
        </w:rPr>
        <w:t xml:space="preserve">ТОВ «Українська аудиторська компанія «КРЕДО», </w:t>
      </w:r>
    </w:p>
    <w:p>
      <w:pPr>
        <w:pStyle w:val="Normal"/>
        <w:spacing w:lineRule="atLeast" w:line="240" w:before="0" w:after="0"/>
        <w:rPr>
          <w:rFonts w:ascii="Times New Roman" w:hAnsi="Times New Roman" w:cs="Times New Roman"/>
          <w:sz w:val="24"/>
          <w:szCs w:val="24"/>
        </w:rPr>
      </w:pPr>
      <w:r>
        <w:rPr>
          <w:rFonts w:cs="Times New Roman" w:ascii="Times New Roman" w:hAnsi="Times New Roman"/>
          <w:sz w:val="24"/>
          <w:szCs w:val="24"/>
        </w:rPr>
        <w:t xml:space="preserve">Україна, 03150, м. Київ, вул. Є. Ґедройця, 6, оф. 304, </w:t>
      </w:r>
    </w:p>
    <w:p>
      <w:pPr>
        <w:pStyle w:val="Normal"/>
        <w:spacing w:lineRule="atLeast" w:line="240" w:before="0" w:after="0"/>
        <w:rPr>
          <w:rFonts w:ascii="Times New Roman" w:hAnsi="Times New Roman" w:cs="Times New Roman"/>
          <w:sz w:val="24"/>
          <w:szCs w:val="24"/>
        </w:rPr>
      </w:pPr>
      <w:r>
        <w:rPr>
          <w:rFonts w:cs="Times New Roman" w:ascii="Times New Roman" w:hAnsi="Times New Roman"/>
          <w:sz w:val="24"/>
          <w:szCs w:val="24"/>
        </w:rPr>
        <w:t xml:space="preserve">ЄДРПОУ 32158755, </w:t>
      </w:r>
    </w:p>
    <w:p>
      <w:pPr>
        <w:pStyle w:val="Normal"/>
        <w:spacing w:lineRule="atLeast" w:line="240" w:before="0" w:after="0"/>
        <w:rPr>
          <w:rFonts w:ascii="Times New Roman" w:hAnsi="Times New Roman" w:cs="Times New Roman"/>
        </w:rPr>
      </w:pPr>
      <w:r>
        <w:rPr>
          <w:rFonts w:cs="Times New Roman" w:ascii="Times New Roman" w:hAnsi="Times New Roman"/>
        </w:rPr>
        <w:t xml:space="preserve">Номер реєстрації в </w:t>
      </w:r>
      <w:r>
        <w:rPr>
          <w:rFonts w:cs="Times New Roman" w:ascii="Times New Roman" w:hAnsi="Times New Roman"/>
          <w:bCs/>
        </w:rPr>
        <w:t>Розділі "Суб'єкти аудиторської діяльності, які мають право проводити обов'язковий аудит фінансової звітності"</w:t>
      </w:r>
      <w:r>
        <w:rPr>
          <w:rFonts w:cs="Times New Roman" w:ascii="Times New Roman" w:hAnsi="Times New Roman"/>
          <w:b/>
          <w:bCs/>
        </w:rPr>
        <w:t xml:space="preserve"> </w:t>
      </w:r>
      <w:r>
        <w:rPr>
          <w:rFonts w:cs="Times New Roman" w:ascii="Times New Roman" w:hAnsi="Times New Roman"/>
          <w:bCs/>
        </w:rPr>
        <w:t xml:space="preserve">Реєстру аудиторів та суб’єктів аудиторської діяльності – </w:t>
      </w:r>
      <w:r>
        <w:rPr>
          <w:rFonts w:cs="Times New Roman" w:ascii="Times New Roman" w:hAnsi="Times New Roman"/>
        </w:rPr>
        <w:t>3018</w:t>
      </w:r>
    </w:p>
    <w:p>
      <w:pPr>
        <w:pStyle w:val="Normal"/>
        <w:spacing w:lineRule="atLeast" w:line="240" w:before="0" w:after="0"/>
        <w:rPr>
          <w:rFonts w:ascii="Times New Roman" w:hAnsi="Times New Roman" w:cs="Times New Roman"/>
          <w:sz w:val="24"/>
          <w:szCs w:val="24"/>
        </w:rPr>
      </w:pPr>
      <w:hyperlink r:id="rId5">
        <w:r>
          <w:rPr>
            <w:rStyle w:val="Style19"/>
            <w:rFonts w:cs="Times New Roman" w:ascii="Times New Roman" w:hAnsi="Times New Roman"/>
            <w:sz w:val="24"/>
            <w:szCs w:val="24"/>
          </w:rPr>
          <w:t>https://www.kredo-uak.com.ua</w:t>
        </w:r>
      </w:hyperlink>
    </w:p>
    <w:p>
      <w:pPr>
        <w:pStyle w:val="Normal"/>
        <w:spacing w:lineRule="atLeast" w:line="240" w:before="0" w:after="0"/>
        <w:rPr>
          <w:rFonts w:ascii="Times New Roman" w:hAnsi="Times New Roman" w:cs="Times New Roman"/>
        </w:rPr>
      </w:pPr>
      <w:r>
        <w:rPr>
          <w:rFonts w:cs="Times New Roman" w:ascii="Times New Roman" w:hAnsi="Times New Roman"/>
        </w:rPr>
      </w:r>
      <w:bookmarkStart w:id="1" w:name="_GoBack1"/>
      <w:bookmarkStart w:id="2" w:name="_GoBack1"/>
      <w:bookmarkEnd w:id="2"/>
    </w:p>
    <w:p>
      <w:pPr>
        <w:pStyle w:val="Normal"/>
        <w:spacing w:lineRule="atLeast" w:line="240" w:before="0" w:after="0"/>
        <w:rPr>
          <w:rFonts w:ascii="Times New Roman" w:hAnsi="Times New Roman" w:cs="Times New Roman"/>
        </w:rPr>
      </w:pPr>
      <w:r>
        <w:rPr>
          <w:rFonts w:cs="Times New Roman" w:ascii="Times New Roman" w:hAnsi="Times New Roman"/>
        </w:rPr>
      </w:r>
    </w:p>
    <w:p>
      <w:pPr>
        <w:pStyle w:val="Normal"/>
        <w:spacing w:lineRule="atLeast" w:line="240" w:before="0" w:after="0"/>
        <w:rPr>
          <w:rFonts w:ascii="Times New Roman" w:hAnsi="Times New Roman" w:cs="Times New Roman"/>
          <w:sz w:val="24"/>
          <w:szCs w:val="24"/>
        </w:rPr>
      </w:pPr>
      <w:r>
        <w:rPr/>
      </w:r>
    </w:p>
    <w:sectPr>
      <w:type w:val="nextPage"/>
      <w:pgSz w:orient="landscape" w:w="16838" w:h="11906"/>
      <w:pgMar w:left="1843" w:right="851" w:gutter="0" w:header="0" w:top="1276" w:footer="0"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Courier New">
    <w:charset w:val="01"/>
    <w:family w:val="roman"/>
    <w:pitch w:val="variable"/>
  </w:font>
  <w:font w:name="PTSans-Regular">
    <w:charset w:val="01"/>
    <w:family w:val="roman"/>
    <w:pitch w:val="variable"/>
  </w:font>
  <w:font w:name="Liberation Sans">
    <w:altName w:val="Arial"/>
    <w:charset w:val="01"/>
    <w:family w:val="swiss"/>
    <w:pitch w:val="variable"/>
  </w:font>
  <w:font w:name="Verdana">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5964" w:hanging="435"/>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с отступом Знак"/>
    <w:basedOn w:val="DefaultParagraphFont"/>
    <w:qFormat/>
    <w:rsid w:val="00b35812"/>
    <w:rPr>
      <w:rFonts w:ascii="Times New Roman" w:hAnsi="Times New Roman" w:eastAsia="Times New Roman" w:cs="Times New Roman"/>
      <w:sz w:val="28"/>
      <w:szCs w:val="20"/>
      <w:lang w:val="uk-UA" w:eastAsia="ru-RU"/>
    </w:rPr>
  </w:style>
  <w:style w:type="character" w:styleId="Style15" w:customStyle="1">
    <w:name w:val="Верхний колонтитул Знак"/>
    <w:basedOn w:val="DefaultParagraphFont"/>
    <w:uiPriority w:val="99"/>
    <w:qFormat/>
    <w:rsid w:val="001c20b6"/>
    <w:rPr/>
  </w:style>
  <w:style w:type="character" w:styleId="Style16" w:customStyle="1">
    <w:name w:val="Нижний колонтитул Знак"/>
    <w:basedOn w:val="DefaultParagraphFont"/>
    <w:uiPriority w:val="99"/>
    <w:qFormat/>
    <w:rsid w:val="001c20b6"/>
    <w:rPr/>
  </w:style>
  <w:style w:type="character" w:styleId="Style17" w:customStyle="1">
    <w:name w:val="Текст выноски Знак"/>
    <w:basedOn w:val="DefaultParagraphFont"/>
    <w:link w:val="BalloonText"/>
    <w:uiPriority w:val="99"/>
    <w:semiHidden/>
    <w:qFormat/>
    <w:rsid w:val="006c7742"/>
    <w:rPr>
      <w:rFonts w:ascii="Segoe UI" w:hAnsi="Segoe UI" w:cs="Segoe UI"/>
      <w:sz w:val="18"/>
      <w:szCs w:val="18"/>
    </w:rPr>
  </w:style>
  <w:style w:type="character" w:styleId="HTML" w:customStyle="1">
    <w:name w:val="Стандартный HTML Знак"/>
    <w:basedOn w:val="DefaultParagraphFont"/>
    <w:link w:val="HTMLPreformatted"/>
    <w:uiPriority w:val="99"/>
    <w:semiHidden/>
    <w:qFormat/>
    <w:rsid w:val="004f641f"/>
    <w:rPr>
      <w:rFonts w:ascii="Courier New" w:hAnsi="Courier New" w:eastAsia="Times New Roman" w:cs="Courier New"/>
      <w:sz w:val="20"/>
      <w:szCs w:val="20"/>
      <w:lang w:eastAsia="ru-RU"/>
    </w:rPr>
  </w:style>
  <w:style w:type="character" w:styleId="Style18" w:customStyle="1">
    <w:name w:val="Заголовок Знак"/>
    <w:basedOn w:val="DefaultParagraphFont"/>
    <w:qFormat/>
    <w:rsid w:val="00165834"/>
    <w:rPr>
      <w:rFonts w:ascii="Times New Roman" w:hAnsi="Times New Roman" w:eastAsia="Times New Roman" w:cs="Times New Roman"/>
      <w:b/>
      <w:sz w:val="28"/>
      <w:szCs w:val="20"/>
      <w:lang w:val="uk-UA" w:eastAsia="ru-RU"/>
    </w:rPr>
  </w:style>
  <w:style w:type="character" w:styleId="FontStyle20" w:customStyle="1">
    <w:name w:val="Font Style20"/>
    <w:uiPriority w:val="99"/>
    <w:qFormat/>
    <w:rsid w:val="00165834"/>
    <w:rPr>
      <w:rFonts w:ascii="Times New Roman" w:hAnsi="Times New Roman"/>
      <w:sz w:val="22"/>
    </w:rPr>
  </w:style>
  <w:style w:type="character" w:styleId="Fontstyle01" w:customStyle="1">
    <w:name w:val="fontstyle01"/>
    <w:basedOn w:val="DefaultParagraphFont"/>
    <w:qFormat/>
    <w:rsid w:val="00165834"/>
    <w:rPr>
      <w:rFonts w:ascii="PTSans-Regular" w:hAnsi="PTSans-Regular"/>
      <w:b w:val="false"/>
      <w:bCs w:val="false"/>
      <w:i w:val="false"/>
      <w:iCs w:val="false"/>
      <w:color w:val="1F1F1F"/>
      <w:sz w:val="24"/>
      <w:szCs w:val="24"/>
    </w:rPr>
  </w:style>
  <w:style w:type="character" w:styleId="2" w:customStyle="1">
    <w:name w:val="Основной текст (2)_"/>
    <w:basedOn w:val="DefaultParagraphFont"/>
    <w:link w:val="22"/>
    <w:qFormat/>
    <w:rsid w:val="00043b00"/>
    <w:rPr>
      <w:rFonts w:ascii="Times New Roman" w:hAnsi="Times New Roman" w:eastAsia="Times New Roman" w:cs="Times New Roman"/>
      <w:sz w:val="20"/>
      <w:szCs w:val="20"/>
      <w:shd w:fill="FFFFFF" w:val="clear"/>
    </w:rPr>
  </w:style>
  <w:style w:type="character" w:styleId="Strong">
    <w:name w:val="Strong"/>
    <w:basedOn w:val="DefaultParagraphFont"/>
    <w:uiPriority w:val="22"/>
    <w:qFormat/>
    <w:rsid w:val="005014e8"/>
    <w:rPr>
      <w:b/>
      <w:bCs/>
    </w:rPr>
  </w:style>
  <w:style w:type="character" w:styleId="Style19">
    <w:name w:val="Hyperlink"/>
    <w:basedOn w:val="DefaultParagraphFont"/>
    <w:rPr>
      <w:color w:val="0563C1" w:themeColor="hyperlink"/>
      <w:u w:val="single"/>
    </w:rPr>
  </w:style>
  <w:style w:type="paragraph" w:styleId="Style20">
    <w:name w:val="Заголовок"/>
    <w:basedOn w:val="Normal"/>
    <w:next w:val="Style21"/>
    <w:qFormat/>
    <w:pPr>
      <w:keepNext w:val="true"/>
      <w:spacing w:before="240" w:after="120"/>
    </w:pPr>
    <w:rPr>
      <w:rFonts w:ascii="Liberation Sans" w:hAnsi="Liberation Sans" w:eastAsia="Noto Sans CJK JP Regular" w:cs="Noto Sans Devanagari"/>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Noto Sans Devanagari"/>
    </w:rPr>
  </w:style>
  <w:style w:type="paragraph" w:styleId="Style23">
    <w:name w:val="Caption"/>
    <w:basedOn w:val="Normal"/>
    <w:qFormat/>
    <w:pPr>
      <w:suppressLineNumbers/>
      <w:spacing w:before="120" w:after="120"/>
    </w:pPr>
    <w:rPr>
      <w:rFonts w:cs="Noto Sans Devanagari"/>
      <w:i/>
      <w:iCs/>
      <w:sz w:val="24"/>
      <w:szCs w:val="24"/>
    </w:rPr>
  </w:style>
  <w:style w:type="paragraph" w:styleId="Style24">
    <w:name w:val="Указатель"/>
    <w:basedOn w:val="Normal"/>
    <w:qFormat/>
    <w:pPr>
      <w:suppressLineNumbers/>
    </w:pPr>
    <w:rPr>
      <w:rFonts w:cs="Noto Sans Devanagari"/>
    </w:rPr>
  </w:style>
  <w:style w:type="paragraph" w:styleId="NormalWeb">
    <w:name w:val="Normal (Web)"/>
    <w:basedOn w:val="Normal"/>
    <w:uiPriority w:val="99"/>
    <w:qFormat/>
    <w:rsid w:val="00b35812"/>
    <w:pPr>
      <w:spacing w:lineRule="auto" w:line="240" w:beforeAutospacing="1" w:afterAutospacing="1"/>
    </w:pPr>
    <w:rPr>
      <w:rFonts w:ascii="Times New Roman" w:hAnsi="Times New Roman" w:eastAsia="Times New Roman" w:cs="Times New Roman"/>
      <w:sz w:val="24"/>
      <w:szCs w:val="24"/>
      <w:lang w:eastAsia="ru-RU"/>
    </w:rPr>
  </w:style>
  <w:style w:type="paragraph" w:styleId="Style25">
    <w:name w:val="Body Text Indent"/>
    <w:basedOn w:val="Normal"/>
    <w:link w:val="Style14"/>
    <w:rsid w:val="00b35812"/>
    <w:pPr>
      <w:spacing w:lineRule="auto" w:line="240" w:before="0" w:after="0"/>
      <w:ind w:left="5040" w:firstLine="720"/>
    </w:pPr>
    <w:rPr>
      <w:rFonts w:ascii="Times New Roman" w:hAnsi="Times New Roman" w:eastAsia="Times New Roman" w:cs="Times New Roman"/>
      <w:sz w:val="28"/>
      <w:szCs w:val="20"/>
      <w:lang w:val="uk-UA" w:eastAsia="ru-RU"/>
    </w:rPr>
  </w:style>
  <w:style w:type="paragraph" w:styleId="ListParagraph">
    <w:name w:val="List Paragraph"/>
    <w:basedOn w:val="Normal"/>
    <w:uiPriority w:val="34"/>
    <w:qFormat/>
    <w:rsid w:val="00722d67"/>
    <w:pPr>
      <w:spacing w:before="0" w:after="160"/>
      <w:ind w:left="720" w:hanging="0"/>
      <w:contextualSpacing/>
    </w:pPr>
    <w:rPr/>
  </w:style>
  <w:style w:type="paragraph" w:styleId="Style26">
    <w:name w:val="Колонтитул"/>
    <w:basedOn w:val="Normal"/>
    <w:qFormat/>
    <w:pPr/>
    <w:rPr/>
  </w:style>
  <w:style w:type="paragraph" w:styleId="Style27">
    <w:name w:val="Header"/>
    <w:basedOn w:val="Normal"/>
    <w:link w:val="Style15"/>
    <w:uiPriority w:val="99"/>
    <w:unhideWhenUsed/>
    <w:rsid w:val="001c20b6"/>
    <w:pPr>
      <w:tabs>
        <w:tab w:val="clear" w:pos="708"/>
        <w:tab w:val="center" w:pos="4677" w:leader="none"/>
        <w:tab w:val="right" w:pos="9355" w:leader="none"/>
      </w:tabs>
      <w:spacing w:lineRule="auto" w:line="240" w:before="0" w:after="0"/>
    </w:pPr>
    <w:rPr/>
  </w:style>
  <w:style w:type="paragraph" w:styleId="Style28">
    <w:name w:val="Footer"/>
    <w:basedOn w:val="Normal"/>
    <w:link w:val="Style16"/>
    <w:uiPriority w:val="99"/>
    <w:unhideWhenUsed/>
    <w:rsid w:val="001c20b6"/>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7"/>
    <w:uiPriority w:val="99"/>
    <w:semiHidden/>
    <w:unhideWhenUsed/>
    <w:qFormat/>
    <w:rsid w:val="006c7742"/>
    <w:pPr>
      <w:spacing w:lineRule="auto" w:line="240" w:before="0" w:after="0"/>
    </w:pPr>
    <w:rPr>
      <w:rFonts w:ascii="Segoe UI" w:hAnsi="Segoe UI" w:cs="Segoe UI"/>
      <w:sz w:val="18"/>
      <w:szCs w:val="18"/>
    </w:rPr>
  </w:style>
  <w:style w:type="paragraph" w:styleId="HTMLPreformatted">
    <w:name w:val="HTML Preformatted"/>
    <w:basedOn w:val="Normal"/>
    <w:link w:val="HTML"/>
    <w:uiPriority w:val="99"/>
    <w:semiHidden/>
    <w:unhideWhenUsed/>
    <w:qFormat/>
    <w:rsid w:val="004f641f"/>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paragraph" w:styleId="Style29">
    <w:name w:val="Title"/>
    <w:basedOn w:val="Normal"/>
    <w:link w:val="Style18"/>
    <w:qFormat/>
    <w:rsid w:val="00165834"/>
    <w:pPr>
      <w:spacing w:lineRule="auto" w:line="240" w:before="0" w:after="0"/>
      <w:jc w:val="center"/>
    </w:pPr>
    <w:rPr>
      <w:rFonts w:ascii="Times New Roman" w:hAnsi="Times New Roman" w:eastAsia="Times New Roman" w:cs="Times New Roman"/>
      <w:b/>
      <w:sz w:val="28"/>
      <w:szCs w:val="20"/>
      <w:lang w:val="uk-UA" w:eastAsia="ru-RU"/>
    </w:rPr>
  </w:style>
  <w:style w:type="paragraph" w:styleId="Style31" w:customStyle="1">
    <w:name w:val="Style3"/>
    <w:basedOn w:val="Normal"/>
    <w:uiPriority w:val="99"/>
    <w:qFormat/>
    <w:rsid w:val="00165834"/>
    <w:pPr>
      <w:widowControl w:val="false"/>
      <w:spacing w:lineRule="exact" w:line="300" w:before="0" w:after="0"/>
      <w:ind w:firstLine="264"/>
    </w:pPr>
    <w:rPr>
      <w:rFonts w:ascii="Times New Roman" w:hAnsi="Times New Roman" w:eastAsia="Times New Roman" w:cs="Times New Roman"/>
      <w:sz w:val="24"/>
      <w:szCs w:val="24"/>
      <w:lang w:eastAsia="ru-RU"/>
    </w:rPr>
  </w:style>
  <w:style w:type="paragraph" w:styleId="21" w:customStyle="1">
    <w:name w:val="Основной текст (2)1"/>
    <w:basedOn w:val="Normal"/>
    <w:qFormat/>
    <w:rsid w:val="006420da"/>
    <w:pPr>
      <w:widowControl w:val="false"/>
      <w:shd w:val="clear" w:color="auto" w:fill="FFFFFF"/>
      <w:spacing w:lineRule="exact" w:line="274" w:before="0" w:after="0"/>
      <w:ind w:hanging="360"/>
      <w:jc w:val="both"/>
    </w:pPr>
    <w:rPr>
      <w:rFonts w:ascii="Times New Roman" w:hAnsi="Times New Roman" w:eastAsia="Times New Roman" w:cs="Times New Roman"/>
      <w:color w:val="000000"/>
      <w:sz w:val="24"/>
      <w:szCs w:val="24"/>
      <w:lang w:val="uk-UA" w:eastAsia="uk-UA"/>
    </w:rPr>
  </w:style>
  <w:style w:type="paragraph" w:styleId="22" w:customStyle="1">
    <w:name w:val="Основной текст (2)"/>
    <w:basedOn w:val="Normal"/>
    <w:link w:val="2"/>
    <w:qFormat/>
    <w:rsid w:val="00043b00"/>
    <w:pPr>
      <w:widowControl w:val="false"/>
      <w:shd w:val="clear" w:color="auto" w:fill="FFFFFF"/>
      <w:spacing w:lineRule="atLeast" w:line="0" w:before="240" w:after="300"/>
      <w:jc w:val="both"/>
    </w:pPr>
    <w:rPr>
      <w:rFonts w:ascii="Times New Roman" w:hAnsi="Times New Roman" w:eastAsia="Times New Roman" w:cs="Times New Roman"/>
      <w:sz w:val="20"/>
      <w:szCs w:val="20"/>
    </w:rPr>
  </w:style>
  <w:style w:type="paragraph" w:styleId="NoSpacing">
    <w:name w:val="No Spacing"/>
    <w:uiPriority w:val="1"/>
    <w:qFormat/>
    <w:rsid w:val="00e90b8b"/>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hyperlink" Target="https://www.kredo-uak.com.ua/"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uk-UA" sz="1400" spc="-1" strike="noStrike">
                <a:solidFill>
                  <a:srgbClr val="595959"/>
                </a:solidFill>
                <a:latin typeface="Calibri"/>
              </a:defRPr>
            </a:pPr>
            <a:r>
              <a:rPr b="1" lang="uk-UA" sz="1400" spc="-1" strike="noStrike">
                <a:solidFill>
                  <a:srgbClr val="595959"/>
                </a:solidFill>
                <a:latin typeface="Calibri"/>
              </a:rPr>
              <a:t>Коефіцієнти ліквідності</a:t>
            </a:r>
          </a:p>
        </c:rich>
      </c:tx>
      <c:overlay val="0"/>
      <c:spPr>
        <a:noFill/>
        <a:ln w="0">
          <a:noFill/>
        </a:ln>
      </c:spPr>
    </c:title>
    <c:autoTitleDeleted val="0"/>
    <c:plotArea>
      <c:layout>
        <c:manualLayout>
          <c:layoutTarget val="inner"/>
          <c:xMode val="edge"/>
          <c:yMode val="edge"/>
          <c:x val="0.0430625"/>
          <c:y val="0.111555555555556"/>
          <c:w val="0.6071875"/>
          <c:h val="0.781111111111111"/>
        </c:manualLayout>
      </c:layout>
      <c:lineChart>
        <c:grouping val="standard"/>
        <c:varyColors val="0"/>
        <c:ser>
          <c:idx val="0"/>
          <c:order val="0"/>
          <c:tx>
            <c:strRef>
              <c:f>label 0</c:f>
              <c:strCache>
                <c:ptCount val="1"/>
                <c:pt idx="0">
                  <c:v>Коефіцієнт загальної ліквідності</c:v>
                </c:pt>
              </c:strCache>
            </c:strRef>
          </c:tx>
          <c:spPr>
            <a:solidFill>
              <a:srgbClr val="c00000"/>
            </a:solidFill>
            <a:ln cap="sq" w="38160">
              <a:solidFill>
                <a:srgbClr val="c00000"/>
              </a:solidFill>
              <a:round/>
            </a:ln>
          </c:spPr>
          <c:marker>
            <c:symbol val="none"/>
          </c:marker>
          <c:dLbls>
            <c:numFmt formatCode="General" sourceLinked="0"/>
            <c:txPr>
              <a:bodyPr wrap="square"/>
              <a:lstStyle/>
              <a:p>
                <a:pPr>
                  <a:defRPr b="0" sz="900" spc="-1" strike="noStrike">
                    <a:solidFill>
                      <a:srgbClr val="404040"/>
                    </a:solidFill>
                    <a:latin typeface="Calibri"/>
                  </a:defRPr>
                </a:pPr>
              </a:p>
            </c:txPr>
            <c:dLblPos val="t"/>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2017р.</c:v>
                </c:pt>
                <c:pt idx="1">
                  <c:v>2018р.</c:v>
                </c:pt>
                <c:pt idx="2">
                  <c:v>2019р.</c:v>
                </c:pt>
                <c:pt idx="3">
                  <c:v>2020р.</c:v>
                </c:pt>
                <c:pt idx="4">
                  <c:v>2021р.</c:v>
                </c:pt>
              </c:strCache>
            </c:strRef>
          </c:cat>
          <c:val>
            <c:numRef>
              <c:f>0</c:f>
              <c:numCache>
                <c:formatCode>General</c:formatCode>
                <c:ptCount val="5"/>
                <c:pt idx="0">
                  <c:v>27.03</c:v>
                </c:pt>
                <c:pt idx="1">
                  <c:v>25.59</c:v>
                </c:pt>
                <c:pt idx="2">
                  <c:v>26.4</c:v>
                </c:pt>
                <c:pt idx="3">
                  <c:v>8.38</c:v>
                </c:pt>
                <c:pt idx="4">
                  <c:v>6.07</c:v>
                </c:pt>
              </c:numCache>
            </c:numRef>
          </c:val>
          <c:smooth val="0"/>
        </c:ser>
        <c:ser>
          <c:idx val="1"/>
          <c:order val="1"/>
          <c:tx>
            <c:strRef>
              <c:f>label 1</c:f>
              <c:strCache>
                <c:ptCount val="1"/>
                <c:pt idx="0">
                  <c:v>Коефіцієнт поточної (швидкої) ліквідності</c:v>
                </c:pt>
              </c:strCache>
            </c:strRef>
          </c:tx>
          <c:spPr>
            <a:solidFill>
              <a:srgbClr val="c00000"/>
            </a:solidFill>
            <a:ln cap="sq" w="38160">
              <a:solidFill>
                <a:srgbClr val="c00000"/>
              </a:solidFill>
              <a:round/>
            </a:ln>
          </c:spPr>
          <c:marker>
            <c:symbol val="none"/>
          </c:marker>
          <c:dLbls>
            <c:numFmt formatCode="General" sourceLinked="0"/>
            <c:txPr>
              <a:bodyPr wrap="square"/>
              <a:lstStyle/>
              <a:p>
                <a:pPr>
                  <a:defRPr b="0" sz="900" spc="-1" strike="noStrike">
                    <a:solidFill>
                      <a:srgbClr val="404040"/>
                    </a:solidFill>
                    <a:latin typeface="Calibri"/>
                  </a:defRPr>
                </a:pPr>
              </a:p>
            </c:txPr>
            <c:dLblPos val="t"/>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2017р.</c:v>
                </c:pt>
                <c:pt idx="1">
                  <c:v>2018р.</c:v>
                </c:pt>
                <c:pt idx="2">
                  <c:v>2019р.</c:v>
                </c:pt>
                <c:pt idx="3">
                  <c:v>2020р.</c:v>
                </c:pt>
                <c:pt idx="4">
                  <c:v>2021р.</c:v>
                </c:pt>
              </c:strCache>
            </c:strRef>
          </c:cat>
          <c:val>
            <c:numRef>
              <c:f>1</c:f>
              <c:numCache>
                <c:formatCode>General</c:formatCode>
                <c:ptCount val="5"/>
                <c:pt idx="0">
                  <c:v>27.03</c:v>
                </c:pt>
                <c:pt idx="1">
                  <c:v>25.59</c:v>
                </c:pt>
                <c:pt idx="2">
                  <c:v>26.4</c:v>
                </c:pt>
                <c:pt idx="3">
                  <c:v>8.38</c:v>
                </c:pt>
                <c:pt idx="4">
                  <c:v>6.07</c:v>
                </c:pt>
              </c:numCache>
            </c:numRef>
          </c:val>
          <c:smooth val="0"/>
        </c:ser>
        <c:ser>
          <c:idx val="2"/>
          <c:order val="2"/>
          <c:tx>
            <c:strRef>
              <c:f>label 2</c:f>
              <c:strCache>
                <c:ptCount val="1"/>
                <c:pt idx="0">
                  <c:v>Коефіцієнт абсолютної (строкової) ліквідності</c:v>
                </c:pt>
              </c:strCache>
            </c:strRef>
          </c:tx>
          <c:spPr>
            <a:solidFill>
              <a:srgbClr val="2e75b6"/>
            </a:solidFill>
            <a:ln cap="rnd" w="38160">
              <a:solidFill>
                <a:srgbClr val="2e75b6"/>
              </a:solidFill>
              <a:round/>
            </a:ln>
          </c:spPr>
          <c:marker>
            <c:symbol val="none"/>
          </c:marker>
          <c:dLbls>
            <c:numFmt formatCode="General" sourceLinked="0"/>
            <c:txPr>
              <a:bodyPr wrap="square"/>
              <a:lstStyle/>
              <a:p>
                <a:pPr>
                  <a:defRPr b="0" sz="900" spc="-1" strike="noStrike">
                    <a:solidFill>
                      <a:srgbClr val="404040"/>
                    </a:solidFill>
                    <a:latin typeface="Calibri"/>
                  </a:defRPr>
                </a:pPr>
              </a:p>
            </c:txPr>
            <c:dLblPos val="t"/>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2017р.</c:v>
                </c:pt>
                <c:pt idx="1">
                  <c:v>2018р.</c:v>
                </c:pt>
                <c:pt idx="2">
                  <c:v>2019р.</c:v>
                </c:pt>
                <c:pt idx="3">
                  <c:v>2020р.</c:v>
                </c:pt>
                <c:pt idx="4">
                  <c:v>2021р.</c:v>
                </c:pt>
              </c:strCache>
            </c:strRef>
          </c:cat>
          <c:val>
            <c:numRef>
              <c:f>2</c:f>
              <c:numCache>
                <c:formatCode>General</c:formatCode>
                <c:ptCount val="5"/>
                <c:pt idx="0">
                  <c:v>0.17</c:v>
                </c:pt>
                <c:pt idx="1">
                  <c:v>0.09</c:v>
                </c:pt>
                <c:pt idx="2">
                  <c:v>0.5</c:v>
                </c:pt>
                <c:pt idx="3">
                  <c:v>0.5</c:v>
                </c:pt>
                <c:pt idx="4">
                  <c:v>0.16</c:v>
                </c:pt>
              </c:numCache>
            </c:numRef>
          </c:val>
          <c:smooth val="0"/>
        </c:ser>
        <c:hiLowLines>
          <c:spPr>
            <a:ln w="0">
              <a:noFill/>
            </a:ln>
          </c:spPr>
        </c:hiLowLines>
        <c:marker val="0"/>
        <c:axId val="42629536"/>
        <c:axId val="16223086"/>
      </c:lineChart>
      <c:catAx>
        <c:axId val="4262953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16223086"/>
        <c:crosses val="autoZero"/>
        <c:auto val="1"/>
        <c:lblAlgn val="ctr"/>
        <c:lblOffset val="100"/>
        <c:noMultiLvlLbl val="0"/>
      </c:catAx>
      <c:valAx>
        <c:axId val="16223086"/>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42629536"/>
        <c:crosses val="autoZero"/>
        <c:crossBetween val="between"/>
      </c:valAx>
      <c:spPr>
        <a:noFill/>
        <a:ln w="0">
          <a:noFill/>
        </a:ln>
      </c:spPr>
    </c:plotArea>
    <c:legend>
      <c:legendPos val="r"/>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uk-UA" sz="1400" spc="-1" strike="noStrike">
                <a:solidFill>
                  <a:srgbClr val="595959"/>
                </a:solidFill>
                <a:latin typeface="Calibri"/>
              </a:defRPr>
            </a:pPr>
            <a:r>
              <a:rPr b="1" lang="uk-UA" sz="1400" spc="-1" strike="noStrike">
                <a:solidFill>
                  <a:srgbClr val="595959"/>
                </a:solidFill>
                <a:latin typeface="Calibri"/>
              </a:rPr>
              <a:t>Показники фінансової стійкості</a:t>
            </a:r>
          </a:p>
        </c:rich>
      </c:tx>
      <c:overlay val="0"/>
      <c:spPr>
        <a:noFill/>
        <a:ln w="0">
          <a:noFill/>
        </a:ln>
      </c:spPr>
    </c:title>
    <c:autoTitleDeleted val="0"/>
    <c:plotArea>
      <c:layout>
        <c:manualLayout>
          <c:layoutTarget val="inner"/>
          <c:xMode val="edge"/>
          <c:yMode val="edge"/>
          <c:x val="0.0430625"/>
          <c:y val="0.111555555555556"/>
          <c:w val="0.6071875"/>
          <c:h val="0.781111111111111"/>
        </c:manualLayout>
      </c:layout>
      <c:lineChart>
        <c:grouping val="standard"/>
        <c:varyColors val="0"/>
        <c:ser>
          <c:idx val="0"/>
          <c:order val="0"/>
          <c:tx>
            <c:strRef>
              <c:f>label 0</c:f>
              <c:strCache>
                <c:ptCount val="1"/>
                <c:pt idx="0">
                  <c:v>Коефіцієнт фінансування</c:v>
                </c:pt>
              </c:strCache>
            </c:strRef>
          </c:tx>
          <c:spPr>
            <a:solidFill>
              <a:srgbClr val="c00000"/>
            </a:solidFill>
            <a:ln cap="rnd" w="38160">
              <a:solidFill>
                <a:srgbClr val="c00000"/>
              </a:solidFill>
              <a:round/>
            </a:ln>
          </c:spPr>
          <c:marker>
            <c:symbol val="none"/>
          </c:marker>
          <c:dLbls>
            <c:numFmt formatCode="General" sourceLinked="0"/>
            <c:txPr>
              <a:bodyPr wrap="square"/>
              <a:lstStyle/>
              <a:p>
                <a:pPr>
                  <a:defRPr b="0" sz="900" spc="-1" strike="noStrike">
                    <a:solidFill>
                      <a:srgbClr val="404040"/>
                    </a:solidFill>
                    <a:latin typeface="Calibri"/>
                  </a:defRPr>
                </a:pPr>
              </a:p>
            </c:txPr>
            <c:dLblPos val="t"/>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2017р.</c:v>
                </c:pt>
                <c:pt idx="1">
                  <c:v>2018р.</c:v>
                </c:pt>
                <c:pt idx="2">
                  <c:v>2019р.</c:v>
                </c:pt>
                <c:pt idx="3">
                  <c:v>2020р.</c:v>
                </c:pt>
                <c:pt idx="4">
                  <c:v>2021р.</c:v>
                </c:pt>
              </c:strCache>
            </c:strRef>
          </c:cat>
          <c:val>
            <c:numRef>
              <c:f>0</c:f>
              <c:numCache>
                <c:formatCode>General</c:formatCode>
                <c:ptCount val="5"/>
                <c:pt idx="0">
                  <c:v>0.0387</c:v>
                </c:pt>
                <c:pt idx="1">
                  <c:v>0.041</c:v>
                </c:pt>
                <c:pt idx="2">
                  <c:v>0.0393</c:v>
                </c:pt>
                <c:pt idx="3">
                  <c:v>0.1354</c:v>
                </c:pt>
                <c:pt idx="4">
                  <c:v>0.1934</c:v>
                </c:pt>
              </c:numCache>
            </c:numRef>
          </c:val>
          <c:smooth val="0"/>
        </c:ser>
        <c:ser>
          <c:idx val="1"/>
          <c:order val="1"/>
          <c:tx>
            <c:strRef>
              <c:f>label 1</c:f>
              <c:strCache>
                <c:ptCount val="1"/>
                <c:pt idx="0">
                  <c:v>Коефіцієнт платоспроможності (автономії)</c:v>
                </c:pt>
              </c:strCache>
            </c:strRef>
          </c:tx>
          <c:spPr>
            <a:solidFill>
              <a:srgbClr val="00b050"/>
            </a:solidFill>
            <a:ln cap="rnd" w="38160">
              <a:solidFill>
                <a:srgbClr val="00b050"/>
              </a:solidFill>
              <a:round/>
            </a:ln>
          </c:spPr>
          <c:marker>
            <c:symbol val="none"/>
          </c:marker>
          <c:dPt>
            <c:idx val="0"/>
            <c:marker>
              <c:symbol val="none"/>
            </c:marker>
          </c:dPt>
          <c:dPt>
            <c:idx val="1"/>
            <c:marker>
              <c:symbol val="none"/>
            </c:marker>
          </c:dPt>
          <c:dPt>
            <c:idx val="2"/>
            <c:marker>
              <c:symbol val="none"/>
            </c:marker>
          </c:dPt>
          <c:dPt>
            <c:idx val="3"/>
            <c:marker>
              <c:symbol val="none"/>
            </c:marker>
          </c:dPt>
          <c:dPt>
            <c:idx val="4"/>
            <c:marker>
              <c:symbol val="none"/>
            </c:marker>
          </c:dPt>
          <c:dLbls>
            <c:numFmt formatCode="General" sourceLinked="0"/>
            <c:dLbl>
              <c:idx val="0"/>
              <c:layout>
                <c:manualLayout>
                  <c:x val="-0.0343029901636127"/>
                  <c:y val="0.0393864829396325"/>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1"/>
              <c:layout>
                <c:manualLayout>
                  <c:x val="-0.04520641695489"/>
                  <c:y val="0.0393864829396325"/>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2"/>
              <c:layout>
                <c:manualLayout>
                  <c:x val="-0.0311877253661049"/>
                  <c:y val="0.0440161125692622"/>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3"/>
              <c:layout>
                <c:manualLayout>
                  <c:x val="-0.0327453577648589"/>
                  <c:y val="0.0486457421988918"/>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4"/>
              <c:layout>
                <c:manualLayout>
                  <c:x val="-0.0338668530919616"/>
                  <c:y val="0.0486457421988918"/>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txPr>
              <a:bodyPr wrap="square"/>
              <a:lstStyle/>
              <a:p>
                <a:pPr>
                  <a:defRPr b="0" sz="900" spc="-1" strike="noStrike">
                    <a:solidFill>
                      <a:srgbClr val="404040"/>
                    </a:solidFill>
                    <a:latin typeface="Calibri"/>
                  </a:defRPr>
                </a:pPr>
              </a:p>
            </c:txPr>
            <c:dLblPos val="t"/>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2017р.</c:v>
                </c:pt>
                <c:pt idx="1">
                  <c:v>2018р.</c:v>
                </c:pt>
                <c:pt idx="2">
                  <c:v>2019р.</c:v>
                </c:pt>
                <c:pt idx="3">
                  <c:v>2020р.</c:v>
                </c:pt>
                <c:pt idx="4">
                  <c:v>2021р.</c:v>
                </c:pt>
              </c:strCache>
            </c:strRef>
          </c:cat>
          <c:val>
            <c:numRef>
              <c:f>1</c:f>
              <c:numCache>
                <c:formatCode>General</c:formatCode>
                <c:ptCount val="5"/>
                <c:pt idx="0">
                  <c:v>0.9628</c:v>
                </c:pt>
                <c:pt idx="1">
                  <c:v>0.9607</c:v>
                </c:pt>
                <c:pt idx="2">
                  <c:v>0.9622</c:v>
                </c:pt>
                <c:pt idx="3">
                  <c:v>0.8807</c:v>
                </c:pt>
                <c:pt idx="4">
                  <c:v>0.838</c:v>
                </c:pt>
              </c:numCache>
            </c:numRef>
          </c:val>
          <c:smooth val="0"/>
        </c:ser>
        <c:ser>
          <c:idx val="2"/>
          <c:order val="2"/>
          <c:tx>
            <c:strRef>
              <c:f>label 2</c:f>
              <c:strCache>
                <c:ptCount val="1"/>
                <c:pt idx="0">
                  <c:v>Коефіцієнт маневреності власного капіталу</c:v>
                </c:pt>
              </c:strCache>
            </c:strRef>
          </c:tx>
          <c:spPr>
            <a:solidFill>
              <a:srgbClr val="2e75b6"/>
            </a:solidFill>
            <a:ln cap="rnd" w="38160">
              <a:solidFill>
                <a:srgbClr val="2e75b6"/>
              </a:solidFill>
              <a:round/>
            </a:ln>
          </c:spPr>
          <c:marker>
            <c:symbol val="none"/>
          </c:marker>
          <c:dPt>
            <c:idx val="1"/>
            <c:marker>
              <c:symbol val="none"/>
            </c:marker>
          </c:dPt>
          <c:dPt>
            <c:idx val="2"/>
            <c:marker>
              <c:symbol val="none"/>
            </c:marker>
          </c:dPt>
          <c:dLbls>
            <c:numFmt formatCode="General" sourceLinked="0"/>
            <c:dLbl>
              <c:idx val="1"/>
              <c:layout>
                <c:manualLayout>
                  <c:x val="-0.0436487845561361"/>
                  <c:y val="-0.0532061096529601"/>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2"/>
              <c:layout>
                <c:manualLayout>
                  <c:x val="-0.0327453577648588"/>
                  <c:y val="-0.0485764800233304"/>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txPr>
              <a:bodyPr wrap="square"/>
              <a:lstStyle/>
              <a:p>
                <a:pPr>
                  <a:defRPr b="0" sz="900" spc="-1" strike="noStrike">
                    <a:solidFill>
                      <a:srgbClr val="404040"/>
                    </a:solidFill>
                    <a:latin typeface="Calibri"/>
                  </a:defRPr>
                </a:pPr>
              </a:p>
            </c:txPr>
            <c:dLblPos val="t"/>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2017р.</c:v>
                </c:pt>
                <c:pt idx="1">
                  <c:v>2018р.</c:v>
                </c:pt>
                <c:pt idx="2">
                  <c:v>2019р.</c:v>
                </c:pt>
                <c:pt idx="3">
                  <c:v>2020р.</c:v>
                </c:pt>
                <c:pt idx="4">
                  <c:v>2021р.</c:v>
                </c:pt>
              </c:strCache>
            </c:strRef>
          </c:cat>
          <c:val>
            <c:numRef>
              <c:f>2</c:f>
              <c:numCache>
                <c:formatCode>General</c:formatCode>
                <c:ptCount val="5"/>
                <c:pt idx="0">
                  <c:v>0.9991</c:v>
                </c:pt>
                <c:pt idx="1">
                  <c:v>0.9987</c:v>
                </c:pt>
                <c:pt idx="2">
                  <c:v>0.9987</c:v>
                </c:pt>
                <c:pt idx="3">
                  <c:v>0.9988</c:v>
                </c:pt>
                <c:pt idx="4">
                  <c:v>0.9807</c:v>
                </c:pt>
              </c:numCache>
            </c:numRef>
          </c:val>
          <c:smooth val="0"/>
        </c:ser>
        <c:hiLowLines>
          <c:spPr>
            <a:ln w="0">
              <a:noFill/>
            </a:ln>
          </c:spPr>
        </c:hiLowLines>
        <c:marker val="0"/>
        <c:axId val="27946039"/>
        <c:axId val="61454515"/>
      </c:lineChart>
      <c:catAx>
        <c:axId val="2794603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61454515"/>
        <c:crosses val="autoZero"/>
        <c:auto val="1"/>
        <c:lblAlgn val="ctr"/>
        <c:lblOffset val="100"/>
        <c:noMultiLvlLbl val="0"/>
      </c:catAx>
      <c:valAx>
        <c:axId val="61454515"/>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27946039"/>
        <c:crosses val="autoZero"/>
        <c:crossBetween val="between"/>
      </c:valAx>
      <c:spPr>
        <a:noFill/>
        <a:ln w="0">
          <a:noFill/>
        </a:ln>
      </c:spPr>
    </c:plotArea>
    <c:legend>
      <c:legendPos val="r"/>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title>
      <c:tx>
        <c:rich>
          <a:bodyPr rot="0"/>
          <a:lstStyle/>
          <a:p>
            <a:pPr>
              <a:defRPr b="1" lang="uk-UA" sz="1400" spc="-1" strike="noStrike">
                <a:solidFill>
                  <a:srgbClr val="595959"/>
                </a:solidFill>
                <a:latin typeface="Calibri"/>
              </a:defRPr>
            </a:pPr>
            <a:r>
              <a:rPr b="1" lang="uk-UA" sz="1400" spc="-1" strike="noStrike">
                <a:solidFill>
                  <a:srgbClr val="595959"/>
                </a:solidFill>
                <a:latin typeface="Calibri"/>
              </a:rPr>
              <a:t>Показники рентабельності</a:t>
            </a:r>
          </a:p>
        </c:rich>
      </c:tx>
      <c:overlay val="0"/>
      <c:spPr>
        <a:noFill/>
        <a:ln w="0">
          <a:noFill/>
        </a:ln>
      </c:spPr>
    </c:title>
    <c:autoTitleDeleted val="0"/>
    <c:plotArea>
      <c:layout>
        <c:manualLayout>
          <c:layoutTarget val="inner"/>
          <c:xMode val="edge"/>
          <c:yMode val="edge"/>
          <c:x val="0.0430625"/>
          <c:y val="0.111555555555556"/>
          <c:w val="0.6071875"/>
          <c:h val="0.781111111111111"/>
        </c:manualLayout>
      </c:layout>
      <c:lineChart>
        <c:grouping val="standard"/>
        <c:varyColors val="0"/>
        <c:ser>
          <c:idx val="0"/>
          <c:order val="0"/>
          <c:tx>
            <c:strRef>
              <c:f>label 0</c:f>
              <c:strCache>
                <c:ptCount val="1"/>
                <c:pt idx="0">
                  <c:v>Коефіцієнт рентабельності активів</c:v>
                </c:pt>
              </c:strCache>
            </c:strRef>
          </c:tx>
          <c:spPr>
            <a:solidFill>
              <a:srgbClr val="c00000"/>
            </a:solidFill>
            <a:ln cap="rnd" w="38160">
              <a:solidFill>
                <a:srgbClr val="c00000"/>
              </a:solidFill>
              <a:round/>
            </a:ln>
          </c:spPr>
          <c:marker>
            <c:symbol val="none"/>
          </c:marker>
          <c:dPt>
            <c:idx val="1"/>
            <c:marker>
              <c:symbol val="none"/>
            </c:marker>
          </c:dPt>
          <c:dPt>
            <c:idx val="2"/>
            <c:marker>
              <c:symbol val="none"/>
            </c:marker>
          </c:dPt>
          <c:dPt>
            <c:idx val="3"/>
            <c:marker>
              <c:symbol val="none"/>
            </c:marker>
          </c:dPt>
          <c:dPt>
            <c:idx val="4"/>
            <c:marker>
              <c:symbol val="none"/>
            </c:marker>
          </c:dPt>
          <c:dLbls>
            <c:numFmt formatCode="General" sourceLinked="0"/>
            <c:dLbl>
              <c:idx val="1"/>
              <c:layout>
                <c:manualLayout>
                  <c:x val="-0.0395638629283489"/>
                  <c:y val="0.0393864829396324"/>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2"/>
              <c:layout>
                <c:manualLayout>
                  <c:x val="-0.0187266661760738"/>
                  <c:y val="0.0393864829396325"/>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3"/>
              <c:layout>
                <c:manualLayout>
                  <c:x val="-0.031187725366105"/>
                  <c:y val="0.0532753718285214"/>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4"/>
              <c:layout>
                <c:manualLayout>
                  <c:x val="-0.0327453577648588"/>
                  <c:y val="0.0579050014581511"/>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txPr>
              <a:bodyPr wrap="square"/>
              <a:lstStyle/>
              <a:p>
                <a:pPr>
                  <a:defRPr b="0" sz="900" spc="-1" strike="noStrike">
                    <a:solidFill>
                      <a:srgbClr val="404040"/>
                    </a:solidFill>
                    <a:latin typeface="Calibri"/>
                  </a:defRPr>
                </a:pPr>
              </a:p>
            </c:txPr>
            <c:dLblPos val="t"/>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2017р.</c:v>
                </c:pt>
                <c:pt idx="1">
                  <c:v>2018р.</c:v>
                </c:pt>
                <c:pt idx="2">
                  <c:v>2019р.</c:v>
                </c:pt>
                <c:pt idx="3">
                  <c:v>2020р.</c:v>
                </c:pt>
                <c:pt idx="4">
                  <c:v>2021р.</c:v>
                </c:pt>
              </c:strCache>
            </c:strRef>
          </c:cat>
          <c:val>
            <c:numRef>
              <c:f>0</c:f>
              <c:numCache>
                <c:formatCode>General</c:formatCode>
                <c:ptCount val="5"/>
                <c:pt idx="0">
                  <c:v>0.0006</c:v>
                </c:pt>
                <c:pt idx="1">
                  <c:v>-0.0546</c:v>
                </c:pt>
                <c:pt idx="2">
                  <c:v>0.0157</c:v>
                </c:pt>
                <c:pt idx="3">
                  <c:v>0.0623</c:v>
                </c:pt>
                <c:pt idx="4">
                  <c:v>0.1294</c:v>
                </c:pt>
              </c:numCache>
            </c:numRef>
          </c:val>
          <c:smooth val="0"/>
        </c:ser>
        <c:ser>
          <c:idx val="1"/>
          <c:order val="1"/>
          <c:tx>
            <c:strRef>
              <c:f>label 1</c:f>
              <c:strCache>
                <c:ptCount val="1"/>
                <c:pt idx="0">
                  <c:v>Коефіцієнт рентабельності власного капіталу</c:v>
                </c:pt>
              </c:strCache>
            </c:strRef>
          </c:tx>
          <c:spPr>
            <a:solidFill>
              <a:srgbClr val="0070c0"/>
            </a:solidFill>
            <a:ln cap="rnd" w="28440">
              <a:solidFill>
                <a:srgbClr val="0070c0"/>
              </a:solidFill>
              <a:round/>
            </a:ln>
          </c:spPr>
          <c:marker>
            <c:symbol val="none"/>
          </c:marker>
          <c:dPt>
            <c:idx val="1"/>
            <c:marker>
              <c:symbol val="none"/>
            </c:marker>
          </c:dPt>
          <c:dPt>
            <c:idx val="2"/>
            <c:marker>
              <c:symbol val="none"/>
            </c:marker>
          </c:dPt>
          <c:dPt>
            <c:idx val="3"/>
            <c:marker>
              <c:symbol val="none"/>
            </c:marker>
          </c:dPt>
          <c:dLbls>
            <c:numFmt formatCode="General" sourceLinked="0"/>
            <c:dLbl>
              <c:idx val="1"/>
              <c:layout>
                <c:manualLayout>
                  <c:x val="-0.0374181936370103"/>
                  <c:y val="-0.0485762977544474"/>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2"/>
              <c:layout>
                <c:manualLayout>
                  <c:x val="-0.0374182549611205"/>
                  <c:y val="-0.0485764800233304"/>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3"/>
              <c:layout>
                <c:manualLayout>
                  <c:x val="-0.0545522113474134"/>
                  <c:y val="-0.0346875911344415"/>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txPr>
              <a:bodyPr wrap="square"/>
              <a:lstStyle/>
              <a:p>
                <a:pPr>
                  <a:defRPr b="0" sz="900" spc="-1" strike="noStrike">
                    <a:solidFill>
                      <a:srgbClr val="404040"/>
                    </a:solidFill>
                    <a:latin typeface="Calibri"/>
                  </a:defRPr>
                </a:pPr>
              </a:p>
            </c:txPr>
            <c:dLblPos val="t"/>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5"/>
                <c:pt idx="0">
                  <c:v>2017р.</c:v>
                </c:pt>
                <c:pt idx="1">
                  <c:v>2018р.</c:v>
                </c:pt>
                <c:pt idx="2">
                  <c:v>2019р.</c:v>
                </c:pt>
                <c:pt idx="3">
                  <c:v>2020р.</c:v>
                </c:pt>
                <c:pt idx="4">
                  <c:v>2021р.</c:v>
                </c:pt>
              </c:strCache>
            </c:strRef>
          </c:cat>
          <c:val>
            <c:numRef>
              <c:f>1</c:f>
              <c:numCache>
                <c:formatCode>General</c:formatCode>
                <c:ptCount val="5"/>
                <c:pt idx="0">
                  <c:v>0.0006</c:v>
                </c:pt>
                <c:pt idx="1">
                  <c:v>-0.0568</c:v>
                </c:pt>
                <c:pt idx="2">
                  <c:v>0.0164</c:v>
                </c:pt>
                <c:pt idx="3">
                  <c:v>0.0678</c:v>
                </c:pt>
                <c:pt idx="4">
                  <c:v>0.151</c:v>
                </c:pt>
              </c:numCache>
            </c:numRef>
          </c:val>
          <c:smooth val="0"/>
        </c:ser>
        <c:hiLowLines>
          <c:spPr>
            <a:ln w="0">
              <a:noFill/>
            </a:ln>
          </c:spPr>
        </c:hiLowLines>
        <c:marker val="0"/>
        <c:axId val="47199192"/>
        <c:axId val="37269719"/>
      </c:lineChart>
      <c:catAx>
        <c:axId val="47199192"/>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37269719"/>
        <c:crosses val="autoZero"/>
        <c:auto val="1"/>
        <c:lblAlgn val="ctr"/>
        <c:lblOffset val="100"/>
        <c:noMultiLvlLbl val="0"/>
      </c:catAx>
      <c:valAx>
        <c:axId val="37269719"/>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b="0" sz="900" spc="-1" strike="noStrike">
                <a:solidFill>
                  <a:srgbClr val="595959"/>
                </a:solidFill>
                <a:latin typeface="Calibri"/>
              </a:defRPr>
            </a:pPr>
          </a:p>
        </c:txPr>
        <c:crossAx val="47199192"/>
        <c:crosses val="autoZero"/>
        <c:crossBetween val="between"/>
      </c:valAx>
      <c:spPr>
        <a:noFill/>
        <a:ln w="0">
          <a:noFill/>
        </a:ln>
      </c:spPr>
    </c:plotArea>
    <c:legend>
      <c:legendPos val="r"/>
      <c:overlay val="0"/>
      <c:spPr>
        <a:noFill/>
        <a:ln w="0">
          <a:noFill/>
        </a:ln>
      </c:spPr>
      <c:txPr>
        <a:bodyPr/>
        <a:lstStyle/>
        <a:p>
          <a:pPr>
            <a:defRPr b="0" sz="900" spc="-1" strike="noStrike">
              <a:solidFill>
                <a:srgbClr val="595959"/>
              </a:solidFill>
              <a:latin typeface="Calibri"/>
            </a:defRPr>
          </a:pPr>
        </a:p>
      </c:txPr>
    </c:legend>
    <c:plotVisOnly val="1"/>
    <c:dispBlanksAs val="gap"/>
  </c:chart>
  <c:spPr>
    <a:solidFill>
      <a:srgbClr val="ffffff"/>
    </a:solidFill>
    <a:ln w="9360">
      <a:solidFill>
        <a:srgbClr val="d9d9d9"/>
      </a:solidFill>
      <a:round/>
    </a:ln>
  </c:spPr>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DF69-C054-4DDD-9590-9091478E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Application>LibreOffice/7.4.3.2$Linux_X86_64 LibreOffice_project/1048a8393ae2eeec98dff31b5c133c5f1d08b890</Application>
  <AppVersion>15.0000</AppVersion>
  <Pages>6</Pages>
  <Words>1356</Words>
  <Characters>9168</Characters>
  <CharactersWithSpaces>10314</CharactersWithSpaces>
  <Paragraphs>238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2022-09-21T10:04:00Z</dcterms:created>
  <dc:creator>Монастирська Юлія Олегівна</dc:creator>
  <dc:description/>
  <dc:language>ru-RU</dc:language>
  <cp:lastModifiedBy/>
  <cp:lastPrinted>2022-09-21T10:04:00Z</cp:lastPrinted>
  <dcterms:modified xsi:type="dcterms:W3CDTF">2022-12-07T10:53:12Z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